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B3AE" w14:textId="77777777" w:rsidR="00DF3034" w:rsidRPr="003D7730" w:rsidRDefault="00DF3034" w:rsidP="006F2CAB">
      <w:pPr>
        <w:spacing w:afterLines="60" w:after="144" w:line="240" w:lineRule="auto"/>
        <w:rPr>
          <w:szCs w:val="22"/>
        </w:rPr>
      </w:pPr>
    </w:p>
    <w:p w14:paraId="775BEBA8" w14:textId="77777777" w:rsidR="00DF3034" w:rsidRPr="003D7730" w:rsidRDefault="00DF3034" w:rsidP="006F2CAB">
      <w:pPr>
        <w:spacing w:afterLines="60" w:after="144" w:line="240" w:lineRule="auto"/>
        <w:outlineLvl w:val="0"/>
        <w:rPr>
          <w:b/>
          <w:szCs w:val="22"/>
        </w:rPr>
      </w:pPr>
      <w:r w:rsidRPr="003D7730">
        <w:rPr>
          <w:b/>
          <w:szCs w:val="22"/>
        </w:rPr>
        <w:t>Livres édités</w:t>
      </w:r>
    </w:p>
    <w:p w14:paraId="1C6C76E2" w14:textId="77777777" w:rsidR="00DF3034" w:rsidRPr="003D7730" w:rsidRDefault="00DF3034" w:rsidP="006F2CAB">
      <w:pPr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eastAsia="en-US"/>
        </w:rPr>
        <w:t xml:space="preserve">- (éd., avec J. Stauder-Porchet, E. Frood), </w:t>
      </w:r>
      <w:r w:rsidRPr="003D7730">
        <w:rPr>
          <w:rFonts w:eastAsiaTheme="minorHAnsi"/>
          <w:i/>
          <w:iCs/>
          <w:noProof w:val="0"/>
          <w:szCs w:val="22"/>
          <w:lang w:eastAsia="en-US"/>
        </w:rPr>
        <w:t xml:space="preserve">Ancient Egyptian Biographies.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>Contexts, forms, functions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 (Wilbour Studies in Egyptology and Assyriology 6). Atlanta, Lockwood, 2020.</w:t>
      </w:r>
    </w:p>
    <w:p w14:paraId="0819707B" w14:textId="77777777" w:rsidR="00DF3034" w:rsidRPr="003D7730" w:rsidRDefault="00DF3034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 xml:space="preserve">- (éd., avec D. Klotz),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>Enigmatic Writing in the New Kingdom. Revealing, Transforming, and Display in Egyptian Hieroglyphs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 (Zeitschrift für ägyptische Sprache und Altertumskunde, Beihefte 12.1). Berlin, de Gruyter, 2020. </w:t>
      </w:r>
    </w:p>
    <w:p w14:paraId="65070AF4" w14:textId="241D7AB8" w:rsidR="00DF3034" w:rsidRPr="003D7730" w:rsidRDefault="00DF3034" w:rsidP="006F2CAB">
      <w:pPr>
        <w:spacing w:afterLines="60" w:after="144" w:line="240" w:lineRule="auto"/>
        <w:rPr>
          <w:szCs w:val="22"/>
          <w:lang w:val="en-US"/>
        </w:rPr>
      </w:pPr>
      <w:r w:rsidRPr="003D7730">
        <w:rPr>
          <w:szCs w:val="22"/>
          <w:lang w:val="en-US"/>
        </w:rPr>
        <w:t>- (éd., avec W. Wendrich),</w:t>
      </w:r>
      <w:r w:rsidRPr="003D7730">
        <w:rPr>
          <w:i/>
          <w:szCs w:val="22"/>
          <w:lang w:val="en-US"/>
        </w:rPr>
        <w:t xml:space="preserve"> UCLA Encylopedia of Egyptology</w:t>
      </w:r>
      <w:r w:rsidRPr="003D7730">
        <w:rPr>
          <w:szCs w:val="22"/>
          <w:lang w:val="en-US"/>
        </w:rPr>
        <w:t>, section « Language, Writing, Text » : https://uee.cdh.ucla.edu/welcome/</w:t>
      </w:r>
    </w:p>
    <w:p w14:paraId="5A3C13F9" w14:textId="77777777" w:rsidR="00DF3034" w:rsidRPr="003D7730" w:rsidRDefault="00DF3034" w:rsidP="006F2CAB">
      <w:pPr>
        <w:spacing w:afterLines="60" w:after="144" w:line="240" w:lineRule="auto"/>
        <w:rPr>
          <w:szCs w:val="22"/>
          <w:lang w:val="en-US"/>
        </w:rPr>
      </w:pPr>
    </w:p>
    <w:p w14:paraId="4DD70F6C" w14:textId="5B0AE8CE" w:rsidR="00DF3034" w:rsidRPr="003D7730" w:rsidRDefault="00DF3034" w:rsidP="006F2CAB">
      <w:pPr>
        <w:autoSpaceDE w:val="0"/>
        <w:autoSpaceDN w:val="0"/>
        <w:adjustRightInd w:val="0"/>
        <w:spacing w:afterLines="60" w:after="144" w:line="240" w:lineRule="auto"/>
        <w:rPr>
          <w:rFonts w:eastAsiaTheme="minorHAnsi"/>
          <w:b/>
          <w:noProof w:val="0"/>
          <w:szCs w:val="22"/>
          <w:lang w:eastAsia="en-US"/>
        </w:rPr>
      </w:pPr>
      <w:r w:rsidRPr="003D7730">
        <w:rPr>
          <w:rFonts w:eastAsiaTheme="minorHAnsi"/>
          <w:b/>
          <w:noProof w:val="0"/>
          <w:szCs w:val="22"/>
          <w:lang w:eastAsia="en-US"/>
        </w:rPr>
        <w:t xml:space="preserve">Articles </w:t>
      </w:r>
      <w:r w:rsidR="004A6B08" w:rsidRPr="003D7730">
        <w:rPr>
          <w:rFonts w:eastAsiaTheme="minorHAnsi"/>
          <w:b/>
          <w:noProof w:val="0"/>
          <w:szCs w:val="22"/>
          <w:lang w:eastAsia="en-US"/>
        </w:rPr>
        <w:t>–</w:t>
      </w:r>
      <w:r w:rsidRPr="003D7730">
        <w:rPr>
          <w:rFonts w:eastAsiaTheme="minorHAnsi"/>
          <w:b/>
          <w:noProof w:val="0"/>
          <w:szCs w:val="22"/>
          <w:lang w:eastAsia="en-US"/>
        </w:rPr>
        <w:t xml:space="preserve"> littératur</w:t>
      </w:r>
      <w:r w:rsidR="004A6B08" w:rsidRPr="003D7730">
        <w:rPr>
          <w:rFonts w:eastAsiaTheme="minorHAnsi"/>
          <w:b/>
          <w:noProof w:val="0"/>
          <w:szCs w:val="22"/>
          <w:lang w:eastAsia="en-US"/>
        </w:rPr>
        <w:t>e, production écrite, textes</w:t>
      </w:r>
      <w:r w:rsidR="001C6C3F">
        <w:rPr>
          <w:rFonts w:eastAsiaTheme="minorHAnsi"/>
          <w:b/>
          <w:noProof w:val="0"/>
          <w:szCs w:val="22"/>
          <w:lang w:eastAsia="en-US"/>
        </w:rPr>
        <w:t>, inscriptions</w:t>
      </w:r>
    </w:p>
    <w:p w14:paraId="09A09B7D" w14:textId="0C25C1C8" w:rsidR="00BF3A66" w:rsidRDefault="00BF3A66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BF3A66">
        <w:rPr>
          <w:rFonts w:eastAsiaTheme="minorHAnsi"/>
          <w:noProof w:val="0"/>
          <w:szCs w:val="22"/>
          <w:lang w:val="en-US" w:eastAsia="en-US"/>
        </w:rPr>
        <w:t>(-) « On Dating Middle Egyptian Poetry and On Writing History », dans : A. Pill</w:t>
      </w:r>
      <w:r>
        <w:rPr>
          <w:rFonts w:eastAsiaTheme="minorHAnsi"/>
          <w:noProof w:val="0"/>
          <w:szCs w:val="22"/>
          <w:lang w:val="en-US" w:eastAsia="en-US"/>
        </w:rPr>
        <w:t xml:space="preserve">on (éd.), </w:t>
      </w:r>
      <w:r>
        <w:rPr>
          <w:rFonts w:eastAsiaTheme="minorHAnsi"/>
          <w:i/>
          <w:noProof w:val="0"/>
          <w:szCs w:val="22"/>
          <w:lang w:val="en-US" w:eastAsia="en-US"/>
        </w:rPr>
        <w:t>First Intermediate Period Chronologies</w:t>
      </w:r>
      <w:r>
        <w:rPr>
          <w:rFonts w:eastAsiaTheme="minorHAnsi"/>
          <w:noProof w:val="0"/>
          <w:szCs w:val="22"/>
          <w:lang w:val="en-US" w:eastAsia="en-US"/>
        </w:rPr>
        <w:t xml:space="preserve">, IFAO, </w:t>
      </w:r>
      <w:r w:rsidR="00923464">
        <w:rPr>
          <w:rFonts w:eastAsiaTheme="minorHAnsi"/>
          <w:noProof w:val="0"/>
          <w:szCs w:val="22"/>
          <w:lang w:val="en-US" w:eastAsia="en-US"/>
        </w:rPr>
        <w:t>Le C</w:t>
      </w:r>
      <w:r>
        <w:rPr>
          <w:rFonts w:eastAsiaTheme="minorHAnsi"/>
          <w:noProof w:val="0"/>
          <w:szCs w:val="22"/>
          <w:lang w:val="en-US" w:eastAsia="en-US"/>
        </w:rPr>
        <w:t>air</w:t>
      </w:r>
      <w:r w:rsidR="00923464">
        <w:rPr>
          <w:rFonts w:eastAsiaTheme="minorHAnsi"/>
          <w:noProof w:val="0"/>
          <w:szCs w:val="22"/>
          <w:lang w:val="en-US" w:eastAsia="en-US"/>
        </w:rPr>
        <w:t>e</w:t>
      </w:r>
      <w:r w:rsidR="001B7DC2">
        <w:rPr>
          <w:rFonts w:eastAsiaTheme="minorHAnsi"/>
          <w:noProof w:val="0"/>
          <w:szCs w:val="22"/>
          <w:lang w:val="en-US" w:eastAsia="en-US"/>
        </w:rPr>
        <w:t>, soumis.</w:t>
      </w:r>
    </w:p>
    <w:p w14:paraId="051E866F" w14:textId="3ADA8644" w:rsidR="001A7942" w:rsidRDefault="001A7942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eastAsia="en-US"/>
        </w:rPr>
      </w:pPr>
      <w:r w:rsidRPr="001A7942">
        <w:rPr>
          <w:rFonts w:eastAsiaTheme="minorHAnsi"/>
          <w:noProof w:val="0"/>
          <w:szCs w:val="22"/>
          <w:lang w:eastAsia="en-US"/>
        </w:rPr>
        <w:t>(-) « Le texte dans l’espace – à propos du Cycle viziral thoutmoside</w:t>
      </w:r>
      <w:r>
        <w:rPr>
          <w:rFonts w:eastAsiaTheme="minorHAnsi"/>
          <w:noProof w:val="0"/>
          <w:szCs w:val="22"/>
          <w:lang w:eastAsia="en-US"/>
        </w:rPr>
        <w:t xml:space="preserve"> », dans : F. Albert, C. Ragazzoli (éd.), </w:t>
      </w:r>
      <w:r w:rsidR="00923464">
        <w:rPr>
          <w:rFonts w:eastAsiaTheme="minorHAnsi"/>
          <w:i/>
          <w:noProof w:val="0"/>
          <w:szCs w:val="22"/>
          <w:lang w:eastAsia="en-US"/>
        </w:rPr>
        <w:t>Espaces d’écritures</w:t>
      </w:r>
      <w:r w:rsidR="00923464">
        <w:rPr>
          <w:rFonts w:eastAsiaTheme="minorHAnsi"/>
          <w:noProof w:val="0"/>
          <w:szCs w:val="22"/>
          <w:lang w:eastAsia="en-US"/>
        </w:rPr>
        <w:t xml:space="preserve">, IFAO, </w:t>
      </w:r>
      <w:r w:rsidR="00923464" w:rsidRPr="00923464">
        <w:rPr>
          <w:rFonts w:eastAsiaTheme="minorHAnsi"/>
          <w:noProof w:val="0"/>
          <w:szCs w:val="22"/>
          <w:lang w:eastAsia="en-US"/>
        </w:rPr>
        <w:t>Le Caire</w:t>
      </w:r>
      <w:r w:rsidR="00923464">
        <w:rPr>
          <w:rFonts w:eastAsiaTheme="minorHAnsi"/>
          <w:noProof w:val="0"/>
          <w:szCs w:val="22"/>
          <w:lang w:eastAsia="en-US"/>
        </w:rPr>
        <w:t>, soumis.</w:t>
      </w:r>
    </w:p>
    <w:p w14:paraId="7AA9C50F" w14:textId="65150BD0" w:rsidR="00923464" w:rsidRPr="00923464" w:rsidRDefault="00923464" w:rsidP="00923464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923464">
        <w:rPr>
          <w:rFonts w:eastAsiaTheme="minorHAnsi"/>
          <w:noProof w:val="0"/>
          <w:szCs w:val="22"/>
          <w:lang w:val="en-US" w:eastAsia="en-US"/>
        </w:rPr>
        <w:t>(-) « Verbal Art in the Heat of the Sinai: Harwerre’s inscription (IS 90)  »</w:t>
      </w:r>
      <w:r>
        <w:rPr>
          <w:rFonts w:eastAsiaTheme="minorHAnsi"/>
          <w:noProof w:val="0"/>
          <w:szCs w:val="22"/>
          <w:lang w:val="en-US" w:eastAsia="en-US"/>
        </w:rPr>
        <w:t xml:space="preserve">, </w:t>
      </w:r>
      <w:r w:rsidRPr="003D7730">
        <w:rPr>
          <w:rStyle w:val="Accentuation"/>
          <w:rFonts w:eastAsia="MS Gothic"/>
          <w:szCs w:val="22"/>
          <w:lang w:val="en-US"/>
        </w:rPr>
        <w:t xml:space="preserve">Zeitschrift für ägyptische Sprache und Altertumskunde </w:t>
      </w:r>
      <w:r w:rsidRPr="003D7730">
        <w:rPr>
          <w:rStyle w:val="Accentuation"/>
          <w:rFonts w:eastAsia="MS Gothic"/>
          <w:i w:val="0"/>
          <w:szCs w:val="22"/>
          <w:lang w:val="en-US"/>
        </w:rPr>
        <w:t>1</w:t>
      </w:r>
      <w:r>
        <w:rPr>
          <w:rStyle w:val="Accentuation"/>
          <w:rFonts w:eastAsia="MS Gothic"/>
          <w:i w:val="0"/>
          <w:szCs w:val="22"/>
          <w:lang w:val="en-US"/>
        </w:rPr>
        <w:t>50</w:t>
      </w:r>
      <w:r w:rsidRPr="003D7730">
        <w:rPr>
          <w:rStyle w:val="Accentuation"/>
          <w:rFonts w:eastAsia="MS Gothic"/>
          <w:i w:val="0"/>
          <w:szCs w:val="22"/>
          <w:lang w:val="en-US"/>
        </w:rPr>
        <w:t xml:space="preserve"> (20</w:t>
      </w:r>
      <w:r>
        <w:rPr>
          <w:rStyle w:val="Accentuation"/>
          <w:rFonts w:eastAsia="MS Gothic"/>
          <w:i w:val="0"/>
          <w:szCs w:val="22"/>
          <w:lang w:val="en-US"/>
        </w:rPr>
        <w:t>23</w:t>
      </w:r>
      <w:r w:rsidRPr="003D7730">
        <w:rPr>
          <w:rStyle w:val="Accentuation"/>
          <w:rFonts w:eastAsia="MS Gothic"/>
          <w:i w:val="0"/>
          <w:szCs w:val="22"/>
          <w:lang w:val="en-US"/>
        </w:rPr>
        <w:t>)</w:t>
      </w:r>
      <w:r>
        <w:rPr>
          <w:rStyle w:val="Accentuation"/>
          <w:rFonts w:eastAsia="MS Gothic"/>
          <w:i w:val="0"/>
          <w:szCs w:val="22"/>
          <w:lang w:val="en-US"/>
        </w:rPr>
        <w:t>, accepté.</w:t>
      </w:r>
    </w:p>
    <w:p w14:paraId="48A2AF37" w14:textId="09F29771" w:rsidR="00395C8A" w:rsidRPr="003D7730" w:rsidRDefault="006F2CAB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eastAsia="en-US"/>
        </w:rPr>
      </w:pPr>
      <w:r w:rsidRPr="003D7730">
        <w:rPr>
          <w:rFonts w:eastAsiaTheme="minorHAnsi"/>
          <w:noProof w:val="0"/>
          <w:szCs w:val="22"/>
          <w:lang w:eastAsia="en-US"/>
        </w:rPr>
        <w:t>(-)</w:t>
      </w:r>
      <w:r w:rsidR="00624F7E" w:rsidRPr="003D7730">
        <w:rPr>
          <w:rFonts w:eastAsiaTheme="minorHAnsi"/>
          <w:noProof w:val="0"/>
          <w:szCs w:val="22"/>
          <w:lang w:eastAsia="en-US"/>
        </w:rPr>
        <w:t xml:space="preserve"> </w:t>
      </w:r>
      <w:r w:rsidR="00395C8A" w:rsidRPr="003D7730">
        <w:rPr>
          <w:rFonts w:eastAsiaTheme="minorHAnsi"/>
          <w:noProof w:val="0"/>
          <w:szCs w:val="22"/>
          <w:lang w:eastAsia="en-US"/>
        </w:rPr>
        <w:t xml:space="preserve">« Glimpses of the maker’s hand in Sinuhe », dans : S. Pasquali (éd.), </w:t>
      </w:r>
      <w:r w:rsidR="00395C8A" w:rsidRPr="003D7730">
        <w:rPr>
          <w:rFonts w:eastAsiaTheme="minorHAnsi"/>
          <w:i/>
          <w:noProof w:val="0"/>
          <w:szCs w:val="22"/>
          <w:lang w:eastAsia="en-US"/>
        </w:rPr>
        <w:t>De l’Égyptien auteur à l’auteur égyptologue. Égyptologie et auctorialité, 25 ans après "Auteur et société" de Philippe Derchain</w:t>
      </w:r>
      <w:r w:rsidR="00395C8A" w:rsidRPr="003D7730">
        <w:rPr>
          <w:rFonts w:eastAsiaTheme="minorHAnsi"/>
          <w:noProof w:val="0"/>
          <w:szCs w:val="22"/>
          <w:lang w:eastAsia="en-US"/>
        </w:rPr>
        <w:t xml:space="preserve">, </w:t>
      </w:r>
      <w:r w:rsidR="001B7DC2">
        <w:rPr>
          <w:rFonts w:eastAsiaTheme="minorHAnsi"/>
          <w:noProof w:val="0"/>
          <w:szCs w:val="22"/>
          <w:lang w:eastAsia="en-US"/>
        </w:rPr>
        <w:t>soumis</w:t>
      </w:r>
      <w:r w:rsidR="00395C8A" w:rsidRPr="003D7730">
        <w:rPr>
          <w:rFonts w:eastAsiaTheme="minorHAnsi"/>
          <w:noProof w:val="0"/>
          <w:szCs w:val="22"/>
          <w:lang w:eastAsia="en-US"/>
        </w:rPr>
        <w:t>.</w:t>
      </w:r>
    </w:p>
    <w:p w14:paraId="6B16F844" w14:textId="5FAD4C7C" w:rsidR="00624F7E" w:rsidRPr="003D7730" w:rsidRDefault="006F2CAB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eastAsia="en-US"/>
        </w:rPr>
      </w:pPr>
      <w:r w:rsidRPr="003D7730">
        <w:rPr>
          <w:rFonts w:eastAsiaTheme="minorHAnsi"/>
          <w:noProof w:val="0"/>
          <w:szCs w:val="22"/>
          <w:lang w:eastAsia="en-US"/>
        </w:rPr>
        <w:t>(-)</w:t>
      </w:r>
      <w:r w:rsidR="00624F7E" w:rsidRPr="003D7730">
        <w:rPr>
          <w:rFonts w:eastAsiaTheme="minorHAnsi"/>
          <w:noProof w:val="0"/>
          <w:szCs w:val="22"/>
          <w:lang w:eastAsia="en-US"/>
        </w:rPr>
        <w:t xml:space="preserve"> « </w:t>
      </w:r>
      <w:r w:rsidR="00624F7E" w:rsidRPr="003D7730">
        <w:rPr>
          <w:rFonts w:eastAsiaTheme="minorHAnsi"/>
          <w:bCs/>
          <w:noProof w:val="0"/>
          <w:szCs w:val="22"/>
          <w:lang w:eastAsia="en-US"/>
        </w:rPr>
        <w:t>Qenamun’s Appointment inscription</w:t>
      </w:r>
      <w:r w:rsidR="00624F7E" w:rsidRPr="003D7730">
        <w:rPr>
          <w:rFonts w:eastAsiaTheme="minorHAnsi"/>
          <w:noProof w:val="0"/>
          <w:szCs w:val="22"/>
          <w:lang w:eastAsia="en-US"/>
        </w:rPr>
        <w:t xml:space="preserve"> », dans : </w:t>
      </w:r>
      <w:r w:rsidR="00624F7E" w:rsidRPr="003D7730">
        <w:rPr>
          <w:rFonts w:eastAsiaTheme="minorHAnsi"/>
          <w:i/>
          <w:noProof w:val="0"/>
          <w:szCs w:val="22"/>
          <w:lang w:eastAsia="en-US"/>
        </w:rPr>
        <w:t>Mélanges pour un collègue distingué</w:t>
      </w:r>
      <w:r w:rsidR="00624F7E" w:rsidRPr="003D7730">
        <w:rPr>
          <w:rFonts w:eastAsiaTheme="minorHAnsi"/>
          <w:noProof w:val="0"/>
          <w:szCs w:val="22"/>
          <w:lang w:eastAsia="en-US"/>
        </w:rPr>
        <w:t xml:space="preserve">, </w:t>
      </w:r>
      <w:r w:rsidR="001B7DC2">
        <w:rPr>
          <w:rFonts w:eastAsiaTheme="minorHAnsi"/>
          <w:noProof w:val="0"/>
          <w:szCs w:val="22"/>
          <w:lang w:eastAsia="en-US"/>
        </w:rPr>
        <w:t>soumis</w:t>
      </w:r>
      <w:r w:rsidR="00624F7E" w:rsidRPr="003D7730">
        <w:rPr>
          <w:rFonts w:eastAsiaTheme="minorHAnsi"/>
          <w:noProof w:val="0"/>
          <w:szCs w:val="22"/>
          <w:lang w:eastAsia="en-US"/>
        </w:rPr>
        <w:t>.</w:t>
      </w:r>
    </w:p>
    <w:p w14:paraId="695A21AE" w14:textId="0A56F428" w:rsidR="0066672B" w:rsidRPr="003D7730" w:rsidRDefault="0066672B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eastAsia="en-US"/>
        </w:rPr>
        <w:t xml:space="preserve">- « La </w:t>
      </w:r>
      <w:r w:rsidRPr="003D7730">
        <w:rPr>
          <w:rFonts w:eastAsiaTheme="minorHAnsi"/>
          <w:i/>
          <w:iCs/>
          <w:noProof w:val="0"/>
          <w:szCs w:val="22"/>
          <w:lang w:eastAsia="en-US"/>
        </w:rPr>
        <w:t>Königsnovelle </w:t>
      </w:r>
      <w:r w:rsidRPr="003D7730">
        <w:rPr>
          <w:rFonts w:eastAsiaTheme="minorHAnsi"/>
          <w:noProof w:val="0"/>
          <w:szCs w:val="22"/>
          <w:lang w:eastAsia="en-US"/>
        </w:rPr>
        <w:t xml:space="preserve">: indices génériques, significations, écarts intertextuels », dans : Ph. Collombert </w:t>
      </w:r>
      <w:r w:rsidRPr="003D7730">
        <w:rPr>
          <w:rFonts w:eastAsiaTheme="minorHAnsi"/>
          <w:i/>
          <w:noProof w:val="0"/>
          <w:szCs w:val="22"/>
          <w:lang w:eastAsia="en-US"/>
        </w:rPr>
        <w:t>et al.</w:t>
      </w:r>
      <w:r w:rsidRPr="003D7730">
        <w:rPr>
          <w:rFonts w:eastAsiaTheme="minorHAnsi"/>
          <w:noProof w:val="0"/>
          <w:szCs w:val="22"/>
          <w:lang w:eastAsia="en-US"/>
        </w:rPr>
        <w:t xml:space="preserve"> (éds), </w:t>
      </w:r>
      <w:r w:rsidRPr="003D7730">
        <w:rPr>
          <w:rFonts w:eastAsiaTheme="minorHAnsi"/>
          <w:i/>
          <w:noProof w:val="0"/>
          <w:szCs w:val="22"/>
          <w:lang w:eastAsia="en-US"/>
        </w:rPr>
        <w:t>Questionner le sph</w:t>
      </w:r>
      <w:r w:rsidR="008A281C">
        <w:rPr>
          <w:rFonts w:eastAsiaTheme="minorHAnsi"/>
          <w:i/>
          <w:noProof w:val="0"/>
          <w:szCs w:val="22"/>
          <w:lang w:eastAsia="en-US"/>
        </w:rPr>
        <w:t>i</w:t>
      </w:r>
      <w:r w:rsidRPr="003D7730">
        <w:rPr>
          <w:rFonts w:eastAsiaTheme="minorHAnsi"/>
          <w:i/>
          <w:noProof w:val="0"/>
          <w:szCs w:val="22"/>
          <w:lang w:eastAsia="en-US"/>
        </w:rPr>
        <w:t xml:space="preserve">nx. </w:t>
      </w:r>
      <w:r w:rsidRPr="003D7730">
        <w:rPr>
          <w:rFonts w:eastAsiaTheme="minorHAnsi"/>
          <w:i/>
          <w:iCs/>
          <w:noProof w:val="0"/>
          <w:szCs w:val="22"/>
          <w:lang w:eastAsia="en-US"/>
        </w:rPr>
        <w:t>Mélanges offerts à Christiane Zivie-Coche</w:t>
      </w:r>
      <w:r w:rsidRPr="003D7730">
        <w:rPr>
          <w:rFonts w:eastAsiaTheme="minorHAnsi"/>
          <w:noProof w:val="0"/>
          <w:szCs w:val="22"/>
          <w:lang w:eastAsia="en-US"/>
        </w:rPr>
        <w:t xml:space="preserve"> (BdÉ 178). </w:t>
      </w:r>
      <w:r w:rsidRPr="003D7730">
        <w:rPr>
          <w:rFonts w:eastAsiaTheme="minorHAnsi"/>
          <w:noProof w:val="0"/>
          <w:szCs w:val="22"/>
          <w:lang w:val="en-US" w:eastAsia="en-US"/>
        </w:rPr>
        <w:t>Le Caire, Ifao, 2021, vol. I, p. 99-136.</w:t>
      </w:r>
    </w:p>
    <w:p w14:paraId="4E778584" w14:textId="26755526" w:rsidR="00DF3034" w:rsidRPr="003D7730" w:rsidRDefault="00DF3034" w:rsidP="006F2CAB">
      <w:pPr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 xml:space="preserve">- « Opposing voices in Ancient Egyptian Literature: Debates and Discourses », dans : C. Mittermayer, E. Jimenez (éds),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>Disputation Literature in the Near East and Beyond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 (SANER 25). </w:t>
      </w:r>
      <w:r w:rsidRPr="003D7730">
        <w:rPr>
          <w:rFonts w:eastAsiaTheme="minorHAnsi"/>
          <w:noProof w:val="0"/>
          <w:szCs w:val="22"/>
          <w:lang w:eastAsia="en-US"/>
        </w:rPr>
        <w:t>Leiden/Boston, Brill, 2020, p. 121-142.</w:t>
      </w:r>
    </w:p>
    <w:p w14:paraId="5A49E647" w14:textId="77777777" w:rsidR="00DF3034" w:rsidRPr="003D7730" w:rsidRDefault="00DF3034" w:rsidP="006F2CAB">
      <w:pPr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eastAsia="en-US"/>
        </w:rPr>
        <w:t>- « La forme poétique de l’</w:t>
      </w:r>
      <w:r w:rsidRPr="003D7730">
        <w:rPr>
          <w:rFonts w:eastAsiaTheme="minorHAnsi"/>
          <w:i/>
          <w:iCs/>
          <w:noProof w:val="0"/>
          <w:szCs w:val="22"/>
          <w:lang w:eastAsia="en-US"/>
        </w:rPr>
        <w:t>Enseignement de Sehetepibré </w:t>
      </w:r>
      <w:r w:rsidRPr="003D7730">
        <w:rPr>
          <w:rFonts w:eastAsiaTheme="minorHAnsi"/>
          <w:noProof w:val="0"/>
          <w:szCs w:val="22"/>
          <w:lang w:eastAsia="en-US"/>
        </w:rPr>
        <w:t xml:space="preserve">», dans : K. Gabler </w:t>
      </w:r>
      <w:r w:rsidRPr="003D7730">
        <w:rPr>
          <w:rFonts w:eastAsiaTheme="minorHAnsi"/>
          <w:i/>
          <w:iCs/>
          <w:noProof w:val="0"/>
          <w:szCs w:val="22"/>
          <w:lang w:eastAsia="en-US"/>
        </w:rPr>
        <w:t>et al.</w:t>
      </w:r>
      <w:r w:rsidRPr="003D7730">
        <w:rPr>
          <w:rFonts w:eastAsiaTheme="minorHAnsi"/>
          <w:noProof w:val="0"/>
          <w:szCs w:val="22"/>
          <w:lang w:eastAsia="en-US"/>
        </w:rPr>
        <w:t xml:space="preserve"> </w:t>
      </w:r>
      <w:r w:rsidRPr="003D7730">
        <w:rPr>
          <w:rFonts w:eastAsiaTheme="minorHAnsi"/>
          <w:noProof w:val="0"/>
          <w:szCs w:val="22"/>
          <w:lang w:val="en-US" w:eastAsia="en-US"/>
        </w:rPr>
        <w:t>(éds),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 xml:space="preserve"> Text-Bild-Objekte im archäologischen Kontext: Festschrift für Susanne Bickel </w:t>
      </w:r>
      <w:r w:rsidRPr="003D7730">
        <w:rPr>
          <w:rFonts w:eastAsiaTheme="minorHAnsi"/>
          <w:noProof w:val="0"/>
          <w:szCs w:val="22"/>
          <w:lang w:val="en-US" w:eastAsia="en-US"/>
        </w:rPr>
        <w:t>(LingAeg StudMon 22). Hamburg, Widmaier, 2020, p. 239-256.</w:t>
      </w:r>
    </w:p>
    <w:p w14:paraId="60141D04" w14:textId="77777777" w:rsidR="00DF3034" w:rsidRPr="003D7730" w:rsidRDefault="00DF3034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 xml:space="preserve">- (avec J. Stauder-Porchet) « Egyptian Epigraphic Genres and Their Relation with Nonepigraphic Ones », dans : V. Davies, D. Laboury (éds),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>The Oxford Handbook of Egyptian Epigraphy of Palaeography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. </w:t>
      </w:r>
      <w:r w:rsidRPr="003D7730">
        <w:rPr>
          <w:rFonts w:eastAsiaTheme="minorHAnsi"/>
          <w:noProof w:val="0"/>
          <w:szCs w:val="22"/>
          <w:lang w:eastAsia="en-US"/>
        </w:rPr>
        <w:t>Oxford, OUP, 2020, p. 71-84.</w:t>
      </w:r>
    </w:p>
    <w:p w14:paraId="7EA9F984" w14:textId="77777777" w:rsidR="00DF3034" w:rsidRPr="003D7730" w:rsidRDefault="00DF3034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eastAsia="en-US"/>
        </w:rPr>
        <w:t xml:space="preserve">- (avec J. Stauder-Porchet, E. Frood) « Introduction », dans : J. Stauder-Porchet </w:t>
      </w:r>
      <w:r w:rsidRPr="003D7730">
        <w:rPr>
          <w:rFonts w:eastAsiaTheme="minorHAnsi"/>
          <w:i/>
          <w:noProof w:val="0"/>
          <w:szCs w:val="22"/>
          <w:lang w:eastAsia="en-US"/>
        </w:rPr>
        <w:t>et al.</w:t>
      </w:r>
      <w:r w:rsidRPr="003D7730">
        <w:rPr>
          <w:rFonts w:eastAsiaTheme="minorHAnsi"/>
          <w:noProof w:val="0"/>
          <w:szCs w:val="22"/>
          <w:lang w:eastAsia="en-US"/>
        </w:rPr>
        <w:t xml:space="preserve"> 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(éds),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>Ancient Egyptian Biographies. Contexts, forms, functions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 (Wilbour Studies 6). Atlanta, Lockwood, 2020, p. 1-8.</w:t>
      </w:r>
    </w:p>
    <w:p w14:paraId="08803F1B" w14:textId="77777777" w:rsidR="00DF3034" w:rsidRPr="003D7730" w:rsidRDefault="00DF3034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eastAsia="en-US"/>
        </w:rPr>
      </w:pPr>
    </w:p>
    <w:p w14:paraId="6CC6474E" w14:textId="514E0370" w:rsidR="002863F8" w:rsidRPr="003D7730" w:rsidRDefault="00DF3034" w:rsidP="006F2CAB">
      <w:pPr>
        <w:keepNext/>
        <w:autoSpaceDE w:val="0"/>
        <w:autoSpaceDN w:val="0"/>
        <w:adjustRightInd w:val="0"/>
        <w:spacing w:afterLines="60" w:after="144" w:line="240" w:lineRule="auto"/>
        <w:rPr>
          <w:rFonts w:eastAsiaTheme="minorHAnsi"/>
          <w:b/>
          <w:noProof w:val="0"/>
          <w:szCs w:val="22"/>
          <w:lang w:eastAsia="en-US"/>
        </w:rPr>
      </w:pPr>
      <w:r w:rsidRPr="003D7730">
        <w:rPr>
          <w:rFonts w:eastAsiaTheme="minorHAnsi"/>
          <w:b/>
          <w:noProof w:val="0"/>
          <w:szCs w:val="22"/>
          <w:lang w:eastAsia="en-US"/>
        </w:rPr>
        <w:t xml:space="preserve">Articles </w:t>
      </w:r>
      <w:r w:rsidR="00624F7E" w:rsidRPr="003D7730">
        <w:rPr>
          <w:rFonts w:eastAsiaTheme="minorHAnsi"/>
          <w:b/>
          <w:noProof w:val="0"/>
          <w:szCs w:val="22"/>
          <w:lang w:eastAsia="en-US"/>
        </w:rPr>
        <w:t>—</w:t>
      </w:r>
      <w:r w:rsidRPr="003D7730">
        <w:rPr>
          <w:rFonts w:eastAsiaTheme="minorHAnsi"/>
          <w:b/>
          <w:noProof w:val="0"/>
          <w:szCs w:val="22"/>
          <w:lang w:eastAsia="en-US"/>
        </w:rPr>
        <w:t xml:space="preserve"> écritures égyptiennes</w:t>
      </w:r>
    </w:p>
    <w:p w14:paraId="063BE499" w14:textId="3ED12D26" w:rsidR="00624F7E" w:rsidRPr="003D7730" w:rsidRDefault="006F2CAB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iCs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>(-)</w:t>
      </w:r>
      <w:r w:rsidR="00624F7E" w:rsidRPr="003D7730">
        <w:rPr>
          <w:rFonts w:eastAsiaTheme="minorHAnsi"/>
          <w:i/>
          <w:iCs/>
          <w:noProof w:val="0"/>
          <w:szCs w:val="22"/>
          <w:lang w:val="en-US" w:eastAsia="en-US"/>
        </w:rPr>
        <w:t xml:space="preserve"> </w:t>
      </w:r>
      <w:r w:rsidR="00624F7E" w:rsidRPr="003D7730">
        <w:rPr>
          <w:rFonts w:eastAsiaTheme="minorHAnsi"/>
          <w:noProof w:val="0"/>
          <w:szCs w:val="22"/>
          <w:lang w:val="en-US" w:eastAsia="en-US"/>
        </w:rPr>
        <w:t>« </w:t>
      </w:r>
      <w:r w:rsidR="00624F7E" w:rsidRPr="003D7730">
        <w:rPr>
          <w:rFonts w:eastAsiaTheme="minorHAnsi"/>
          <w:iCs/>
          <w:noProof w:val="0"/>
          <w:szCs w:val="22"/>
          <w:lang w:val="en-US" w:eastAsia="en-US"/>
        </w:rPr>
        <w:t xml:space="preserve">Paths to Early Phoneticism: Egyptian Writing in the Late Fourth Millennium </w:t>
      </w:r>
      <w:r w:rsidR="00624F7E" w:rsidRPr="003D7730">
        <w:rPr>
          <w:rFonts w:eastAsiaTheme="minorHAnsi"/>
          <w:iCs/>
          <w:smallCaps/>
          <w:noProof w:val="0"/>
          <w:szCs w:val="22"/>
          <w:lang w:val="en-US" w:eastAsia="en-US"/>
        </w:rPr>
        <w:t>bce</w:t>
      </w:r>
      <w:r w:rsidR="00624F7E" w:rsidRPr="003D7730">
        <w:rPr>
          <w:rFonts w:eastAsiaTheme="minorHAnsi"/>
          <w:noProof w:val="0"/>
          <w:szCs w:val="22"/>
          <w:lang w:val="en-US" w:eastAsia="en-US"/>
        </w:rPr>
        <w:t xml:space="preserve"> », dans : L. Morenz, A. Stauder (éds), </w:t>
      </w:r>
      <w:r w:rsidR="00624F7E" w:rsidRPr="003D7730">
        <w:rPr>
          <w:rFonts w:eastAsiaTheme="minorHAnsi"/>
          <w:i/>
          <w:noProof w:val="0"/>
          <w:szCs w:val="22"/>
          <w:lang w:val="en-US" w:eastAsia="en-US"/>
        </w:rPr>
        <w:t>Niltal und Zweistromland. Wege zur frühen Schrift</w:t>
      </w:r>
      <w:r w:rsidR="00624F7E" w:rsidRPr="003D7730">
        <w:rPr>
          <w:rFonts w:eastAsiaTheme="minorHAnsi"/>
          <w:noProof w:val="0"/>
          <w:szCs w:val="22"/>
          <w:lang w:val="en-US" w:eastAsia="en-US"/>
        </w:rPr>
        <w:t xml:space="preserve"> (Thot 3). Berlin, EBVerlag, sous presse.</w:t>
      </w:r>
    </w:p>
    <w:p w14:paraId="42BD6912" w14:textId="2E5BD163" w:rsidR="00624F7E" w:rsidRPr="00BF3A66" w:rsidRDefault="006F2CAB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>(-)</w:t>
      </w:r>
      <w:r w:rsidR="00624F7E" w:rsidRPr="003D7730">
        <w:rPr>
          <w:rFonts w:eastAsiaTheme="minorHAnsi"/>
          <w:noProof w:val="0"/>
          <w:szCs w:val="22"/>
          <w:lang w:val="en-US" w:eastAsia="en-US"/>
        </w:rPr>
        <w:t xml:space="preserve"> « For the Eye Only, Visual Aspects of the Text in Ancient Egypt », dans : I. Zsolnay (éd.), </w:t>
      </w:r>
      <w:r w:rsidR="00624F7E" w:rsidRPr="003D7730">
        <w:rPr>
          <w:rFonts w:eastAsiaTheme="minorHAnsi"/>
          <w:i/>
          <w:iCs/>
          <w:noProof w:val="0"/>
          <w:szCs w:val="22"/>
          <w:lang w:val="en-US" w:eastAsia="en-US"/>
        </w:rPr>
        <w:t xml:space="preserve">Seen Not Heard. Composition, Iconicity, and the Classifier Systems of Logosyllabic Scripts </w:t>
      </w:r>
      <w:r w:rsidR="00624F7E" w:rsidRPr="003D7730">
        <w:rPr>
          <w:rFonts w:eastAsiaTheme="minorHAnsi"/>
          <w:noProof w:val="0"/>
          <w:szCs w:val="22"/>
          <w:lang w:val="en-US" w:eastAsia="en-US"/>
        </w:rPr>
        <w:t xml:space="preserve">(OIS 12). </w:t>
      </w:r>
      <w:r w:rsidR="00624F7E" w:rsidRPr="00BF3A66">
        <w:rPr>
          <w:rFonts w:eastAsiaTheme="minorHAnsi"/>
          <w:noProof w:val="0"/>
          <w:szCs w:val="22"/>
          <w:lang w:val="en-US" w:eastAsia="en-US"/>
        </w:rPr>
        <w:t>Chicago, Oriental Institute, sous presse.</w:t>
      </w:r>
    </w:p>
    <w:p w14:paraId="3DFB5DB7" w14:textId="0CC46F7B" w:rsidR="007F0BD4" w:rsidRPr="007F0BD4" w:rsidRDefault="007F0BD4" w:rsidP="007F0BD4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noProof w:val="0"/>
          <w:szCs w:val="22"/>
        </w:rPr>
      </w:pPr>
      <w:r w:rsidRPr="00BF3A66">
        <w:rPr>
          <w:rFonts w:eastAsiaTheme="minorHAnsi"/>
          <w:noProof w:val="0"/>
          <w:szCs w:val="22"/>
          <w:lang w:val="en-US" w:eastAsia="en-US"/>
        </w:rPr>
        <w:lastRenderedPageBreak/>
        <w:t>- « </w:t>
      </w:r>
      <w:r w:rsidRPr="003D7730">
        <w:rPr>
          <w:rFonts w:eastAsiaTheme="minorHAnsi"/>
          <w:noProof w:val="0"/>
          <w:szCs w:val="22"/>
          <w:lang w:val="de-DE" w:eastAsia="en-US"/>
        </w:rPr>
        <w:t>„Was heißt erfinden?“– Prozesse und Akteure in der Entstehung der frühen ägyptischen Schrift</w:t>
      </w:r>
      <w:r w:rsidRPr="00BF3A66">
        <w:rPr>
          <w:rFonts w:eastAsiaTheme="minorHAnsi"/>
          <w:noProof w:val="0"/>
          <w:szCs w:val="22"/>
          <w:lang w:val="en-US" w:eastAsia="en-US"/>
        </w:rPr>
        <w:t> »</w:t>
      </w:r>
      <w:r w:rsidRPr="00BF3A66">
        <w:rPr>
          <w:szCs w:val="22"/>
          <w:lang w:val="en-US"/>
        </w:rPr>
        <w:t xml:space="preserve">, dans : K. Gabler </w:t>
      </w:r>
      <w:r w:rsidRPr="00BF3A66">
        <w:rPr>
          <w:i/>
          <w:szCs w:val="22"/>
          <w:lang w:val="en-US"/>
        </w:rPr>
        <w:t>et al.</w:t>
      </w:r>
      <w:r w:rsidRPr="00BF3A66">
        <w:rPr>
          <w:szCs w:val="22"/>
          <w:lang w:val="en-US"/>
        </w:rPr>
        <w:t xml:space="preserve"> </w:t>
      </w:r>
      <w:r w:rsidRPr="003D7730">
        <w:rPr>
          <w:szCs w:val="22"/>
        </w:rPr>
        <w:t xml:space="preserve">(éds),  </w:t>
      </w:r>
      <w:r w:rsidRPr="003D7730">
        <w:rPr>
          <w:i/>
          <w:szCs w:val="22"/>
        </w:rPr>
        <w:t>Formen kultureller Dynamik: Progression – Impuls – Transformation</w:t>
      </w:r>
      <w:r w:rsidRPr="003D7730">
        <w:rPr>
          <w:szCs w:val="22"/>
        </w:rPr>
        <w:t xml:space="preserve"> (GOF IV)</w:t>
      </w:r>
      <w:r w:rsidRPr="003D7730">
        <w:rPr>
          <w:noProof w:val="0"/>
          <w:szCs w:val="22"/>
        </w:rPr>
        <w:t xml:space="preserve">. </w:t>
      </w:r>
      <w:r w:rsidRPr="007F0BD4">
        <w:rPr>
          <w:noProof w:val="0"/>
          <w:szCs w:val="22"/>
        </w:rPr>
        <w:t xml:space="preserve">Wiesbaden, Harrassowitz, </w:t>
      </w:r>
      <w:r w:rsidR="001033B6">
        <w:rPr>
          <w:noProof w:val="0"/>
          <w:szCs w:val="22"/>
        </w:rPr>
        <w:t xml:space="preserve">2021, </w:t>
      </w:r>
      <w:r>
        <w:rPr>
          <w:noProof w:val="0"/>
          <w:szCs w:val="22"/>
        </w:rPr>
        <w:t>p</w:t>
      </w:r>
      <w:r w:rsidRPr="007F0BD4">
        <w:rPr>
          <w:noProof w:val="0"/>
          <w:szCs w:val="22"/>
        </w:rPr>
        <w:t>. 31-74.</w:t>
      </w:r>
    </w:p>
    <w:p w14:paraId="46F56703" w14:textId="1CE965E1" w:rsidR="00AB0247" w:rsidRPr="007F0BD4" w:rsidRDefault="00AB0247" w:rsidP="00AB0247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noProof w:val="0"/>
          <w:szCs w:val="22"/>
          <w:lang w:val="en-US"/>
        </w:rPr>
      </w:pPr>
      <w:r>
        <w:rPr>
          <w:rFonts w:eastAsiaTheme="minorHAnsi"/>
          <w:noProof w:val="0"/>
          <w:szCs w:val="22"/>
          <w:lang w:eastAsia="en-US"/>
        </w:rPr>
        <w:t xml:space="preserve">- </w:t>
      </w:r>
      <w:r w:rsidRPr="003D7730">
        <w:rPr>
          <w:rFonts w:eastAsiaTheme="minorHAnsi"/>
          <w:noProof w:val="0"/>
          <w:szCs w:val="22"/>
          <w:lang w:eastAsia="en-US"/>
        </w:rPr>
        <w:t>« </w:t>
      </w:r>
      <w:r w:rsidRPr="003D7730">
        <w:rPr>
          <w:noProof w:val="0"/>
          <w:szCs w:val="22"/>
          <w:lang w:val="fr-CH"/>
        </w:rPr>
        <w:t>Origine et premiers développements de l’écriture hiéroglyphique égyptienne</w:t>
      </w:r>
      <w:r w:rsidRPr="003D7730">
        <w:rPr>
          <w:rFonts w:eastAsiaTheme="minorHAnsi"/>
          <w:noProof w:val="0"/>
          <w:szCs w:val="22"/>
          <w:lang w:eastAsia="en-US"/>
        </w:rPr>
        <w:t> »</w:t>
      </w:r>
      <w:r w:rsidRPr="003D7730">
        <w:rPr>
          <w:szCs w:val="22"/>
        </w:rPr>
        <w:t xml:space="preserve">, dans : St. Polis (éd.), </w:t>
      </w:r>
      <w:r w:rsidRPr="003D7730">
        <w:rPr>
          <w:i/>
          <w:szCs w:val="22"/>
        </w:rPr>
        <w:t>Guide des écritures de l’Égypte ancienne</w:t>
      </w:r>
      <w:r w:rsidR="00D07105">
        <w:rPr>
          <w:szCs w:val="22"/>
        </w:rPr>
        <w:t>, GIFAO 2.</w:t>
      </w:r>
      <w:r w:rsidRPr="003D7730">
        <w:rPr>
          <w:szCs w:val="22"/>
        </w:rPr>
        <w:t xml:space="preserve"> </w:t>
      </w:r>
      <w:r w:rsidRPr="007F0BD4">
        <w:rPr>
          <w:szCs w:val="22"/>
          <w:lang w:val="en-US"/>
        </w:rPr>
        <w:t xml:space="preserve">Le Caire, IFAO, </w:t>
      </w:r>
      <w:r w:rsidR="001033B6">
        <w:rPr>
          <w:szCs w:val="22"/>
          <w:lang w:val="en-US"/>
        </w:rPr>
        <w:t xml:space="preserve">2021, </w:t>
      </w:r>
      <w:r w:rsidRPr="007F0BD4">
        <w:rPr>
          <w:szCs w:val="22"/>
          <w:lang w:val="en-US"/>
        </w:rPr>
        <w:t>p. 34-41.</w:t>
      </w:r>
    </w:p>
    <w:p w14:paraId="5F8EB7AC" w14:textId="29CA07D4" w:rsidR="002863F8" w:rsidRPr="003D7730" w:rsidRDefault="00F47AD0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 xml:space="preserve">- « Dazzled and Absorbed: Delayed Reading in Visually Altered and Enigmatic Egyptian Hieroglyphic Writing », </w:t>
      </w:r>
      <w:r w:rsidR="002863F8" w:rsidRPr="003D7730">
        <w:rPr>
          <w:rFonts w:eastAsiaTheme="minorHAnsi"/>
          <w:noProof w:val="0"/>
          <w:szCs w:val="22"/>
          <w:lang w:val="en-US" w:eastAsia="en-US"/>
        </w:rPr>
        <w:t xml:space="preserve">dans : J. Bodel, S. Houston (éds), </w:t>
      </w:r>
      <w:r w:rsidR="002863F8" w:rsidRPr="003D7730">
        <w:rPr>
          <w:rFonts w:eastAsiaTheme="minorHAnsi"/>
          <w:i/>
          <w:noProof w:val="0"/>
          <w:szCs w:val="22"/>
          <w:lang w:val="en-US" w:eastAsia="en-US"/>
        </w:rPr>
        <w:t>The Hidden Language of Graphic Signs. Cryptic Writing and Meaningful Marks</w:t>
      </w:r>
      <w:r w:rsidRPr="003D7730">
        <w:rPr>
          <w:rFonts w:eastAsiaTheme="minorHAnsi"/>
          <w:noProof w:val="0"/>
          <w:szCs w:val="22"/>
          <w:lang w:val="en-US" w:eastAsia="en-US"/>
        </w:rPr>
        <w:t>. Cambridge, Cambridge University Press, 2021, p. 41-53.</w:t>
      </w:r>
    </w:p>
    <w:p w14:paraId="18A51B8E" w14:textId="28D08DC4" w:rsidR="002863F8" w:rsidRPr="003D7730" w:rsidRDefault="002863F8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 xml:space="preserve">- « Iri-Hor: Elaborations of an Early Royal Name »,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 xml:space="preserve">Göttinger Miszellen 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262 (2021), </w:t>
      </w:r>
      <w:r w:rsidR="00F47AD0" w:rsidRPr="003D7730">
        <w:rPr>
          <w:rFonts w:eastAsiaTheme="minorHAnsi"/>
          <w:noProof w:val="0"/>
          <w:szCs w:val="22"/>
          <w:lang w:val="en-US" w:eastAsia="en-US"/>
        </w:rPr>
        <w:t>p</w:t>
      </w:r>
      <w:r w:rsidRPr="003D7730">
        <w:rPr>
          <w:rFonts w:eastAsiaTheme="minorHAnsi"/>
          <w:noProof w:val="0"/>
          <w:szCs w:val="22"/>
          <w:lang w:val="en-US" w:eastAsia="en-US"/>
        </w:rPr>
        <w:t>. 201-207.</w:t>
      </w:r>
    </w:p>
    <w:p w14:paraId="4A5F494F" w14:textId="470F82E0" w:rsidR="00DF3034" w:rsidRPr="003D7730" w:rsidRDefault="00DF3034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 xml:space="preserve">- (avec St. Houston) « What is a Hieroglyph? »,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 xml:space="preserve">L’homme </w:t>
      </w:r>
      <w:r w:rsidRPr="003D7730">
        <w:rPr>
          <w:rFonts w:eastAsiaTheme="minorHAnsi"/>
          <w:noProof w:val="0"/>
          <w:szCs w:val="22"/>
          <w:lang w:val="en-US" w:eastAsia="en-US"/>
        </w:rPr>
        <w:t>233 (2020), p. 9-43.</w:t>
      </w:r>
    </w:p>
    <w:p w14:paraId="448C413A" w14:textId="77777777" w:rsidR="00DF3034" w:rsidRPr="003D7730" w:rsidRDefault="00DF3034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 xml:space="preserve">- « Egyptian Scripts », dans : I. Shaw, E. Bloxam (éds),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>The Oxford Handbook of Egyptology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. Oxford, OUP, 2020, p. 869-893. </w:t>
      </w:r>
    </w:p>
    <w:p w14:paraId="53AF2CA1" w14:textId="7F327416" w:rsidR="00DF3034" w:rsidRPr="003D7730" w:rsidRDefault="00DF3034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>- « Visual Otherness and Delayed Reading in New Kingdom Enigmatic Writing », dans: D.</w:t>
      </w:r>
      <w:r w:rsidR="002863F8" w:rsidRPr="003D7730">
        <w:rPr>
          <w:rFonts w:eastAsiaTheme="minorHAnsi"/>
          <w:noProof w:val="0"/>
          <w:szCs w:val="22"/>
          <w:lang w:val="en-US" w:eastAsia="en-US"/>
        </w:rPr>
        <w:t> </w:t>
      </w:r>
      <w:r w:rsidRPr="003D7730">
        <w:rPr>
          <w:rFonts w:eastAsiaTheme="minorHAnsi"/>
          <w:noProof w:val="0"/>
          <w:szCs w:val="22"/>
          <w:lang w:val="en-US" w:eastAsia="en-US"/>
        </w:rPr>
        <w:t>Klotz, A.</w:t>
      </w:r>
      <w:r w:rsidR="002863F8" w:rsidRPr="003D7730">
        <w:rPr>
          <w:rFonts w:eastAsiaTheme="minorHAnsi"/>
          <w:noProof w:val="0"/>
          <w:szCs w:val="22"/>
          <w:lang w:val="en-US" w:eastAsia="en-US"/>
        </w:rPr>
        <w:t> 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Stauder (éds),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>Enigmatic Writing in the New Kingdom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 (ZÄS Beihefte 12.1). Berlin, de Gruyter, 2020 p. 249-265.</w:t>
      </w:r>
    </w:p>
    <w:p w14:paraId="024FFF2C" w14:textId="77777777" w:rsidR="00DF3034" w:rsidRPr="003D7730" w:rsidRDefault="00DF3034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 xml:space="preserve">- « Introduction », dans : D. Klotz, A. Stauder (éds.),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>Enigmatic Writing in the New Kingdom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 (ZÄS, Beihefte 12.1). Berlin, de Gruyter, 2020, p. 1-5.</w:t>
      </w:r>
    </w:p>
    <w:p w14:paraId="5697BA2B" w14:textId="77777777" w:rsidR="00DF3034" w:rsidRPr="003D7730" w:rsidRDefault="00DF3034" w:rsidP="006F2CAB">
      <w:pPr>
        <w:tabs>
          <w:tab w:val="left" w:pos="1560"/>
        </w:tabs>
        <w:spacing w:afterLines="60" w:after="144" w:line="240" w:lineRule="auto"/>
        <w:rPr>
          <w:szCs w:val="22"/>
          <w:highlight w:val="red"/>
          <w:lang w:val="en-US"/>
        </w:rPr>
      </w:pPr>
    </w:p>
    <w:p w14:paraId="18F7640A" w14:textId="5392DBAD" w:rsidR="00DF3034" w:rsidRPr="001033B6" w:rsidRDefault="00DF3034" w:rsidP="006F2CAB">
      <w:pPr>
        <w:keepNext/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b/>
          <w:noProof w:val="0"/>
          <w:szCs w:val="22"/>
          <w:lang w:eastAsia="en-US"/>
        </w:rPr>
      </w:pPr>
      <w:r w:rsidRPr="001033B6">
        <w:rPr>
          <w:rFonts w:eastAsiaTheme="minorHAnsi"/>
          <w:b/>
          <w:noProof w:val="0"/>
          <w:szCs w:val="22"/>
          <w:lang w:eastAsia="en-US"/>
        </w:rPr>
        <w:t xml:space="preserve">Articles </w:t>
      </w:r>
      <w:r w:rsidR="00624F7E" w:rsidRPr="001033B6">
        <w:rPr>
          <w:rFonts w:eastAsiaTheme="minorHAnsi"/>
          <w:b/>
          <w:noProof w:val="0"/>
          <w:szCs w:val="22"/>
          <w:lang w:eastAsia="en-US"/>
        </w:rPr>
        <w:t>—</w:t>
      </w:r>
      <w:r w:rsidR="000C2063" w:rsidRPr="001033B6">
        <w:rPr>
          <w:rFonts w:eastAsiaTheme="minorHAnsi"/>
          <w:b/>
          <w:noProof w:val="0"/>
          <w:szCs w:val="22"/>
          <w:lang w:eastAsia="en-US"/>
        </w:rPr>
        <w:t xml:space="preserve"> </w:t>
      </w:r>
      <w:r w:rsidRPr="001033B6">
        <w:rPr>
          <w:rFonts w:eastAsiaTheme="minorHAnsi"/>
          <w:b/>
          <w:noProof w:val="0"/>
          <w:szCs w:val="22"/>
          <w:lang w:eastAsia="en-US"/>
        </w:rPr>
        <w:t>linguistique</w:t>
      </w:r>
      <w:r w:rsidR="000C2063" w:rsidRPr="001033B6">
        <w:rPr>
          <w:rFonts w:eastAsiaTheme="minorHAnsi"/>
          <w:b/>
          <w:noProof w:val="0"/>
          <w:szCs w:val="22"/>
          <w:lang w:eastAsia="en-US"/>
        </w:rPr>
        <w:t xml:space="preserve"> de l’égyptien-copte</w:t>
      </w:r>
    </w:p>
    <w:p w14:paraId="04E04011" w14:textId="77777777" w:rsidR="00FB0F20" w:rsidRPr="003D7730" w:rsidRDefault="00FB0F20" w:rsidP="00FB0F20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 xml:space="preserve">(-) « The Emergence of Focusing Verbal Morphology in Egyptian », dans : C. Woods, A. Stauder (éds),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 xml:space="preserve">Linguistic Methods and Theory in Languages of the Ancient Near East 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(Oriental Institute Seminars). Chicago, Oriental Institute, </w:t>
      </w:r>
      <w:r>
        <w:rPr>
          <w:rFonts w:eastAsiaTheme="minorHAnsi"/>
          <w:noProof w:val="0"/>
          <w:szCs w:val="22"/>
          <w:lang w:val="en-US" w:eastAsia="en-US"/>
        </w:rPr>
        <w:t>soumis</w:t>
      </w:r>
      <w:r w:rsidRPr="003D7730">
        <w:rPr>
          <w:rFonts w:eastAsiaTheme="minorHAnsi"/>
          <w:noProof w:val="0"/>
          <w:szCs w:val="22"/>
          <w:lang w:val="en-US" w:eastAsia="en-US"/>
        </w:rPr>
        <w:t>.</w:t>
      </w:r>
    </w:p>
    <w:p w14:paraId="46AFB944" w14:textId="24FE6750" w:rsidR="00395C8A" w:rsidRPr="003D7730" w:rsidRDefault="006F2CAB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>(-)</w:t>
      </w:r>
      <w:r w:rsidR="00395C8A" w:rsidRPr="003D7730">
        <w:rPr>
          <w:rFonts w:eastAsiaTheme="minorHAnsi"/>
          <w:noProof w:val="0"/>
          <w:szCs w:val="22"/>
          <w:lang w:val="en-US" w:eastAsia="en-US"/>
        </w:rPr>
        <w:t xml:space="preserve"> « Egyptian Morphology in Afroasiatic Perspective », dans : S. Štubňová, V. Almansa-Villatoro (éds), </w:t>
      </w:r>
      <w:r w:rsidR="00395C8A" w:rsidRPr="003D7730">
        <w:rPr>
          <w:rFonts w:eastAsiaTheme="minorHAnsi"/>
          <w:i/>
          <w:iCs/>
          <w:noProof w:val="0"/>
          <w:szCs w:val="22"/>
          <w:lang w:val="en-US" w:eastAsia="en-US"/>
        </w:rPr>
        <w:t>Rethinking the Origins. The Departure of Ancient Egyptian as a Branch from the Afroasiatic Family?</w:t>
      </w:r>
      <w:r w:rsidR="00395C8A" w:rsidRPr="003D7730">
        <w:rPr>
          <w:rFonts w:eastAsiaTheme="minorHAnsi"/>
          <w:noProof w:val="0"/>
          <w:szCs w:val="22"/>
          <w:lang w:val="en-US" w:eastAsia="en-US"/>
        </w:rPr>
        <w:t xml:space="preserve"> (LANE). PSU Press, sous presse.</w:t>
      </w:r>
    </w:p>
    <w:p w14:paraId="2207D7F8" w14:textId="55D510DB" w:rsidR="00395C8A" w:rsidRPr="003D7730" w:rsidRDefault="006F2CAB" w:rsidP="006F2CAB">
      <w:pPr>
        <w:spacing w:afterLines="60" w:after="144" w:line="240" w:lineRule="auto"/>
        <w:rPr>
          <w:rFonts w:eastAsiaTheme="minorHAnsi"/>
          <w:szCs w:val="22"/>
          <w:lang w:val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>(-)</w:t>
      </w:r>
      <w:r w:rsidR="00395C8A" w:rsidRPr="003D7730">
        <w:rPr>
          <w:rFonts w:eastAsiaTheme="minorHAnsi"/>
          <w:noProof w:val="0"/>
          <w:szCs w:val="22"/>
          <w:lang w:val="en-US" w:eastAsia="en-US"/>
        </w:rPr>
        <w:t xml:space="preserve"> « </w:t>
      </w:r>
      <w:r w:rsidR="00395C8A" w:rsidRPr="003D7730">
        <w:rPr>
          <w:rFonts w:eastAsiaTheme="minorHAnsi"/>
          <w:szCs w:val="22"/>
          <w:lang w:val="en-US"/>
        </w:rPr>
        <w:t xml:space="preserve">The Absence of </w:t>
      </w:r>
      <w:r w:rsidR="00395C8A" w:rsidRPr="003D7730">
        <w:rPr>
          <w:rFonts w:eastAsiaTheme="minorHAnsi"/>
          <w:i/>
          <w:szCs w:val="22"/>
          <w:lang w:val="en-US"/>
        </w:rPr>
        <w:t>Ỉw</w:t>
      </w:r>
      <w:r w:rsidR="00395C8A" w:rsidRPr="003D7730">
        <w:rPr>
          <w:rFonts w:eastAsiaTheme="minorHAnsi"/>
          <w:szCs w:val="22"/>
          <w:lang w:val="en-US"/>
        </w:rPr>
        <w:t xml:space="preserve"> and Event-Centered Semantics in Earlier Egyptian</w:t>
      </w:r>
      <w:r w:rsidR="00395C8A" w:rsidRPr="003D7730">
        <w:rPr>
          <w:rFonts w:eastAsiaTheme="minorHAnsi"/>
          <w:noProof w:val="0"/>
          <w:szCs w:val="22"/>
          <w:lang w:val="en-US" w:eastAsia="en-US"/>
        </w:rPr>
        <w:t xml:space="preserve"> », dans : S. Štubňová-Nigrelli, V. Almansa-Villatoro, M.Lehner (éds), </w:t>
      </w:r>
      <w:r w:rsidR="00395C8A" w:rsidRPr="003D7730">
        <w:rPr>
          <w:rFonts w:eastAsiaTheme="minorHAnsi"/>
          <w:i/>
          <w:noProof w:val="0"/>
          <w:szCs w:val="22"/>
          <w:lang w:val="en-US" w:eastAsia="en-US"/>
        </w:rPr>
        <w:t>Mélanges pour un collègue distingué</w:t>
      </w:r>
      <w:r w:rsidR="00395C8A" w:rsidRPr="003D7730">
        <w:rPr>
          <w:rFonts w:eastAsiaTheme="minorHAnsi"/>
          <w:noProof w:val="0"/>
          <w:szCs w:val="22"/>
          <w:lang w:val="en-US" w:eastAsia="en-US"/>
        </w:rPr>
        <w:t xml:space="preserve"> (Harvard Studies in Egyptology). Leiden, Brill, sous presse. </w:t>
      </w:r>
    </w:p>
    <w:p w14:paraId="51F8BC48" w14:textId="33C968E3" w:rsidR="00395C8A" w:rsidRPr="003D7730" w:rsidRDefault="006F2CAB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>(-)</w:t>
      </w:r>
      <w:r w:rsidR="00395C8A" w:rsidRPr="003D7730">
        <w:rPr>
          <w:rFonts w:eastAsiaTheme="minorHAnsi"/>
          <w:noProof w:val="0"/>
          <w:szCs w:val="22"/>
          <w:lang w:val="en-US" w:eastAsia="en-US"/>
        </w:rPr>
        <w:t xml:space="preserve"> « Ancient Near Eastern Linguistic Traditions – II. Egypt », dans : L. Waugh, M. Burton (éds), </w:t>
      </w:r>
      <w:r w:rsidR="00395C8A" w:rsidRPr="003D7730">
        <w:rPr>
          <w:rFonts w:eastAsiaTheme="minorHAnsi"/>
          <w:i/>
          <w:iCs/>
          <w:noProof w:val="0"/>
          <w:szCs w:val="22"/>
          <w:lang w:val="en-US" w:eastAsia="en-US"/>
        </w:rPr>
        <w:t>The Cambridge History of Linguistics</w:t>
      </w:r>
      <w:r w:rsidR="00395C8A" w:rsidRPr="003D7730">
        <w:rPr>
          <w:rFonts w:eastAsiaTheme="minorHAnsi"/>
          <w:noProof w:val="0"/>
          <w:szCs w:val="22"/>
          <w:lang w:val="en-US" w:eastAsia="en-US"/>
        </w:rPr>
        <w:t>, vol. I. Cambridge, CUP, sous presse.</w:t>
      </w:r>
    </w:p>
    <w:p w14:paraId="64EE9BEF" w14:textId="6425E2AF" w:rsidR="00624F7E" w:rsidRPr="003D7730" w:rsidRDefault="006F2CAB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>(-)</w:t>
      </w:r>
      <w:r w:rsidR="00624F7E" w:rsidRPr="003D7730">
        <w:rPr>
          <w:rFonts w:eastAsiaTheme="minorHAnsi"/>
          <w:noProof w:val="0"/>
          <w:szCs w:val="22"/>
          <w:lang w:val="en-US" w:eastAsia="en-US"/>
        </w:rPr>
        <w:t xml:space="preserve"> « Negative Polarity With Passive Voice: Diachronic changes in Earlier Egyptian » dans : E. Oréal, M. Müller (éds), </w:t>
      </w:r>
      <w:r w:rsidR="00624F7E" w:rsidRPr="003D7730">
        <w:rPr>
          <w:rFonts w:eastAsiaTheme="minorHAnsi"/>
          <w:i/>
          <w:iCs/>
          <w:noProof w:val="0"/>
          <w:szCs w:val="22"/>
          <w:lang w:val="en-US" w:eastAsia="en-US"/>
        </w:rPr>
        <w:t>Negation in Egyptian-Coptic</w:t>
      </w:r>
      <w:r w:rsidR="00624F7E" w:rsidRPr="003D7730">
        <w:rPr>
          <w:rFonts w:eastAsiaTheme="minorHAnsi"/>
          <w:noProof w:val="0"/>
          <w:szCs w:val="22"/>
          <w:lang w:val="en-US" w:eastAsia="en-US"/>
        </w:rPr>
        <w:t xml:space="preserve"> (Mouton Companions of Egyptian-Coptic 2), Berlin, De Gruyter sous presse.</w:t>
      </w:r>
    </w:p>
    <w:p w14:paraId="65C580D0" w14:textId="53FD2597" w:rsidR="00DF3034" w:rsidRPr="003D7730" w:rsidRDefault="00DF3034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 xml:space="preserve">- « Egyptian Language History », dans : I. Shaw, E. Bloxam (éds),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>The Oxford Handbook of Egyptology</w:t>
      </w:r>
      <w:r w:rsidRPr="003D7730">
        <w:rPr>
          <w:rFonts w:eastAsiaTheme="minorHAnsi"/>
          <w:noProof w:val="0"/>
          <w:szCs w:val="22"/>
          <w:lang w:val="en-US" w:eastAsia="en-US"/>
        </w:rPr>
        <w:t>. Oxford, OUP, 2020, p. 927-954.</w:t>
      </w:r>
    </w:p>
    <w:p w14:paraId="64EB99B5" w14:textId="77777777" w:rsidR="00DF3034" w:rsidRPr="003D7730" w:rsidRDefault="00DF3034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 xml:space="preserve">- « Expressions of Royal Agency: Forms of the verb in the Old Kingdom event autobiography », dans : J. Stauder-Porchet </w:t>
      </w:r>
      <w:r w:rsidRPr="003D7730">
        <w:rPr>
          <w:rFonts w:eastAsiaTheme="minorHAnsi"/>
          <w:i/>
          <w:noProof w:val="0"/>
          <w:szCs w:val="22"/>
          <w:lang w:val="en-US" w:eastAsia="en-US"/>
        </w:rPr>
        <w:t>et al.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 (éds),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 xml:space="preserve">Ancient Egyptian Biographies. </w:t>
      </w:r>
      <w:r w:rsidRPr="003D7730">
        <w:rPr>
          <w:rFonts w:eastAsiaTheme="minorHAnsi"/>
          <w:noProof w:val="0"/>
          <w:szCs w:val="22"/>
          <w:lang w:val="en-US" w:eastAsia="en-US"/>
        </w:rPr>
        <w:t>(Wilbour Studies 6). Atlanta, Lockwood, 2020, p. 225-247.</w:t>
      </w:r>
    </w:p>
    <w:p w14:paraId="3D748F0B" w14:textId="6212BCC6" w:rsidR="00DF3034" w:rsidRPr="003D7730" w:rsidRDefault="00DF3034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noProof w:val="0"/>
          <w:szCs w:val="22"/>
          <w:lang w:val="en-US" w:eastAsia="en-US"/>
        </w:rPr>
      </w:pPr>
      <w:r w:rsidRPr="003D7730">
        <w:rPr>
          <w:rFonts w:eastAsiaTheme="minorHAnsi"/>
          <w:noProof w:val="0"/>
          <w:szCs w:val="22"/>
          <w:lang w:val="en-US" w:eastAsia="en-US"/>
        </w:rPr>
        <w:t xml:space="preserve">- « Senebkay, Block R 11, an Alternative Reading. With a Note on Bare Initial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>tw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 and pre-New Kingdom Instances of the Late Egyptian Subject Pronoun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>twỉ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,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>twk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,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>sw…</w:t>
      </w:r>
      <w:r w:rsidRPr="003D7730">
        <w:rPr>
          <w:rFonts w:eastAsiaTheme="minorHAnsi"/>
          <w:noProof w:val="0"/>
          <w:szCs w:val="22"/>
          <w:lang w:val="en-US" w:eastAsia="en-US"/>
        </w:rPr>
        <w:t xml:space="preserve">, », </w:t>
      </w:r>
      <w:r w:rsidRPr="003D7730">
        <w:rPr>
          <w:rFonts w:eastAsiaTheme="minorHAnsi"/>
          <w:i/>
          <w:iCs/>
          <w:noProof w:val="0"/>
          <w:szCs w:val="22"/>
          <w:lang w:val="en-US" w:eastAsia="en-US"/>
        </w:rPr>
        <w:t xml:space="preserve">Revue d’égyptologie </w:t>
      </w:r>
      <w:r w:rsidRPr="003D7730">
        <w:rPr>
          <w:rFonts w:eastAsiaTheme="minorHAnsi"/>
          <w:noProof w:val="0"/>
          <w:szCs w:val="22"/>
          <w:lang w:val="en-US" w:eastAsia="en-US"/>
        </w:rPr>
        <w:t>70 (2020), p.</w:t>
      </w:r>
      <w:r w:rsidR="00933591" w:rsidRPr="003D7730">
        <w:rPr>
          <w:rFonts w:eastAsiaTheme="minorHAnsi"/>
          <w:noProof w:val="0"/>
          <w:szCs w:val="22"/>
          <w:lang w:val="en-US" w:eastAsia="en-US"/>
        </w:rPr>
        <w:t> </w:t>
      </w:r>
      <w:r w:rsidRPr="003D7730">
        <w:rPr>
          <w:rFonts w:eastAsiaTheme="minorHAnsi"/>
          <w:noProof w:val="0"/>
          <w:szCs w:val="22"/>
          <w:lang w:val="en-US" w:eastAsia="en-US"/>
        </w:rPr>
        <w:t>211-216.</w:t>
      </w:r>
    </w:p>
    <w:p w14:paraId="7AB43C1A" w14:textId="0E27272D" w:rsidR="004A6B08" w:rsidRPr="003D7730" w:rsidRDefault="004A6B08" w:rsidP="006F2CAB">
      <w:pPr>
        <w:tabs>
          <w:tab w:val="left" w:pos="1560"/>
        </w:tabs>
        <w:autoSpaceDE w:val="0"/>
        <w:autoSpaceDN w:val="0"/>
        <w:adjustRightInd w:val="0"/>
        <w:spacing w:afterLines="60" w:after="144" w:line="240" w:lineRule="auto"/>
        <w:rPr>
          <w:rFonts w:eastAsiaTheme="minorHAnsi"/>
          <w:b/>
          <w:iCs/>
          <w:noProof w:val="0"/>
          <w:szCs w:val="22"/>
          <w:lang w:val="en-US" w:eastAsia="en-US"/>
        </w:rPr>
      </w:pPr>
    </w:p>
    <w:p w14:paraId="7EBAA074" w14:textId="77777777" w:rsidR="000B08D5" w:rsidRPr="003D7730" w:rsidRDefault="000B08D5" w:rsidP="006F2CAB">
      <w:pPr>
        <w:spacing w:afterLines="60" w:after="144" w:line="240" w:lineRule="auto"/>
        <w:rPr>
          <w:szCs w:val="22"/>
          <w:lang w:val="en-US"/>
        </w:rPr>
      </w:pPr>
    </w:p>
    <w:sectPr w:rsidR="000B08D5" w:rsidRPr="003D7730" w:rsidSect="000C2063">
      <w:headerReference w:type="even" r:id="rId6"/>
      <w:headerReference w:type="default" r:id="rId7"/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7E82" w14:textId="77777777" w:rsidR="00771DF3" w:rsidRDefault="00771DF3">
      <w:pPr>
        <w:spacing w:line="240" w:lineRule="auto"/>
      </w:pPr>
      <w:r>
        <w:separator/>
      </w:r>
    </w:p>
  </w:endnote>
  <w:endnote w:type="continuationSeparator" w:id="0">
    <w:p w14:paraId="2968C72D" w14:textId="77777777" w:rsidR="00771DF3" w:rsidRDefault="0077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EC71" w14:textId="77777777" w:rsidR="00771DF3" w:rsidRDefault="00771DF3">
      <w:pPr>
        <w:spacing w:line="240" w:lineRule="auto"/>
      </w:pPr>
      <w:r>
        <w:separator/>
      </w:r>
    </w:p>
  </w:footnote>
  <w:footnote w:type="continuationSeparator" w:id="0">
    <w:p w14:paraId="0642FCDD" w14:textId="77777777" w:rsidR="00771DF3" w:rsidRDefault="0077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700600998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7D23A09C" w14:textId="77777777" w:rsidR="00D1328B" w:rsidRDefault="00DF3034" w:rsidP="006119FF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AD56AD8" w14:textId="77777777" w:rsidR="00D1328B" w:rsidRDefault="00771DF3" w:rsidP="00D1328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Cs w:val="22"/>
      </w:rPr>
      <w:id w:val="141628888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29E160C4" w14:textId="39F4565B" w:rsidR="00D1328B" w:rsidRPr="006F2CAB" w:rsidRDefault="00DF3034" w:rsidP="006119FF">
        <w:pPr>
          <w:pStyle w:val="En-tte"/>
          <w:framePr w:wrap="none" w:vAnchor="text" w:hAnchor="margin" w:xAlign="right" w:y="1"/>
          <w:rPr>
            <w:rStyle w:val="Numrodepage"/>
            <w:szCs w:val="22"/>
            <w:lang w:val="en-US"/>
          </w:rPr>
        </w:pPr>
        <w:r w:rsidRPr="006F2CAB">
          <w:rPr>
            <w:rStyle w:val="Numrodepage"/>
            <w:szCs w:val="22"/>
          </w:rPr>
          <w:fldChar w:fldCharType="begin"/>
        </w:r>
        <w:r w:rsidRPr="006F2CAB">
          <w:rPr>
            <w:rStyle w:val="Numrodepage"/>
            <w:szCs w:val="22"/>
            <w:lang w:val="en-US"/>
          </w:rPr>
          <w:instrText xml:space="preserve"> PAGE </w:instrText>
        </w:r>
        <w:r w:rsidRPr="006F2CAB">
          <w:rPr>
            <w:rStyle w:val="Numrodepage"/>
            <w:szCs w:val="22"/>
          </w:rPr>
          <w:fldChar w:fldCharType="separate"/>
        </w:r>
        <w:r w:rsidRPr="006F2CAB">
          <w:rPr>
            <w:rStyle w:val="Numrodepage"/>
            <w:szCs w:val="22"/>
            <w:lang w:val="en-US"/>
          </w:rPr>
          <w:t>1</w:t>
        </w:r>
        <w:r w:rsidRPr="006F2CAB">
          <w:rPr>
            <w:rStyle w:val="Numrodepage"/>
            <w:szCs w:val="22"/>
          </w:rPr>
          <w:fldChar w:fldCharType="end"/>
        </w:r>
        <w:r w:rsidRPr="006F2CAB">
          <w:rPr>
            <w:rStyle w:val="Numrodepage"/>
            <w:szCs w:val="22"/>
            <w:lang w:val="en-US"/>
          </w:rPr>
          <w:t>/</w:t>
        </w:r>
        <w:r w:rsidR="001033B6">
          <w:rPr>
            <w:rStyle w:val="Numrodepage"/>
            <w:szCs w:val="22"/>
            <w:lang w:val="en-US"/>
          </w:rPr>
          <w:t>3</w:t>
        </w:r>
      </w:p>
    </w:sdtContent>
  </w:sdt>
  <w:p w14:paraId="464A0E41" w14:textId="46637A40" w:rsidR="00D1328B" w:rsidRPr="006F2CAB" w:rsidRDefault="00DF3034" w:rsidP="00D1328B">
    <w:pPr>
      <w:pStyle w:val="En-tte"/>
      <w:ind w:right="360"/>
      <w:jc w:val="center"/>
      <w:rPr>
        <w:szCs w:val="22"/>
        <w:lang w:val="en-US"/>
      </w:rPr>
    </w:pPr>
    <w:r w:rsidRPr="006F2CAB">
      <w:rPr>
        <w:szCs w:val="22"/>
        <w:lang w:val="en-US"/>
      </w:rPr>
      <w:t xml:space="preserve">Andréas Stauder, EPHE </w:t>
    </w:r>
    <w:r w:rsidR="001033B6">
      <w:rPr>
        <w:szCs w:val="22"/>
        <w:lang w:val="en-US"/>
      </w:rPr>
      <w:t>–</w:t>
    </w:r>
    <w:r w:rsidRPr="006F2CAB">
      <w:rPr>
        <w:szCs w:val="22"/>
        <w:lang w:val="en-US"/>
      </w:rPr>
      <w:t xml:space="preserve"> Publications</w:t>
    </w:r>
    <w:r w:rsidR="001033B6">
      <w:rPr>
        <w:szCs w:val="22"/>
        <w:lang w:val="en-US"/>
      </w:rPr>
      <w:t xml:space="preserve">, </w:t>
    </w:r>
    <w:r w:rsidRPr="006F2CAB">
      <w:rPr>
        <w:szCs w:val="22"/>
        <w:lang w:val="en-US"/>
      </w:rPr>
      <w:t>202</w:t>
    </w:r>
    <w:r w:rsidR="001033B6">
      <w:rPr>
        <w:szCs w:val="22"/>
        <w:lang w:val="en-US"/>
      </w:rPr>
      <w:t>0-2022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34"/>
    <w:rsid w:val="000457E3"/>
    <w:rsid w:val="000702D4"/>
    <w:rsid w:val="000B08D5"/>
    <w:rsid w:val="000C2063"/>
    <w:rsid w:val="001033B6"/>
    <w:rsid w:val="00111A1F"/>
    <w:rsid w:val="00123968"/>
    <w:rsid w:val="00131EEB"/>
    <w:rsid w:val="00157438"/>
    <w:rsid w:val="00165D63"/>
    <w:rsid w:val="001859CC"/>
    <w:rsid w:val="001A7942"/>
    <w:rsid w:val="001B0E5D"/>
    <w:rsid w:val="001B6AC8"/>
    <w:rsid w:val="001B7DC2"/>
    <w:rsid w:val="001C6C3F"/>
    <w:rsid w:val="00211147"/>
    <w:rsid w:val="0023459D"/>
    <w:rsid w:val="00245552"/>
    <w:rsid w:val="002863F8"/>
    <w:rsid w:val="002C5DCE"/>
    <w:rsid w:val="003001FF"/>
    <w:rsid w:val="00310529"/>
    <w:rsid w:val="00395C8A"/>
    <w:rsid w:val="003A7ABB"/>
    <w:rsid w:val="003C2B7E"/>
    <w:rsid w:val="003C3C92"/>
    <w:rsid w:val="003D7730"/>
    <w:rsid w:val="003E0873"/>
    <w:rsid w:val="003E79DF"/>
    <w:rsid w:val="003F1B9E"/>
    <w:rsid w:val="003F4100"/>
    <w:rsid w:val="00413EAA"/>
    <w:rsid w:val="00434F52"/>
    <w:rsid w:val="0044127F"/>
    <w:rsid w:val="0049066F"/>
    <w:rsid w:val="004A6B08"/>
    <w:rsid w:val="004B770F"/>
    <w:rsid w:val="00502A20"/>
    <w:rsid w:val="00534FAC"/>
    <w:rsid w:val="0054429B"/>
    <w:rsid w:val="00552377"/>
    <w:rsid w:val="005B3133"/>
    <w:rsid w:val="005E4AB4"/>
    <w:rsid w:val="005F7309"/>
    <w:rsid w:val="006125FF"/>
    <w:rsid w:val="00624F7E"/>
    <w:rsid w:val="00630F60"/>
    <w:rsid w:val="00650662"/>
    <w:rsid w:val="00651AE9"/>
    <w:rsid w:val="0066672B"/>
    <w:rsid w:val="0066676D"/>
    <w:rsid w:val="006717AC"/>
    <w:rsid w:val="006A75F3"/>
    <w:rsid w:val="006B1F8A"/>
    <w:rsid w:val="006D32C9"/>
    <w:rsid w:val="006D567D"/>
    <w:rsid w:val="006F2CAB"/>
    <w:rsid w:val="007050D5"/>
    <w:rsid w:val="00725276"/>
    <w:rsid w:val="0074444D"/>
    <w:rsid w:val="00771DF3"/>
    <w:rsid w:val="00774C6F"/>
    <w:rsid w:val="007756EB"/>
    <w:rsid w:val="00791CBE"/>
    <w:rsid w:val="007D1E03"/>
    <w:rsid w:val="007E5370"/>
    <w:rsid w:val="007F0BD4"/>
    <w:rsid w:val="007F5E31"/>
    <w:rsid w:val="00802145"/>
    <w:rsid w:val="008134DA"/>
    <w:rsid w:val="00842824"/>
    <w:rsid w:val="008A281C"/>
    <w:rsid w:val="008A6216"/>
    <w:rsid w:val="008C4979"/>
    <w:rsid w:val="008D0513"/>
    <w:rsid w:val="008E27DD"/>
    <w:rsid w:val="008E4ABC"/>
    <w:rsid w:val="008E7B38"/>
    <w:rsid w:val="009212C7"/>
    <w:rsid w:val="00923464"/>
    <w:rsid w:val="00933591"/>
    <w:rsid w:val="00936444"/>
    <w:rsid w:val="00947B4A"/>
    <w:rsid w:val="00952841"/>
    <w:rsid w:val="009D7960"/>
    <w:rsid w:val="009F3F7E"/>
    <w:rsid w:val="009F709B"/>
    <w:rsid w:val="00A0195E"/>
    <w:rsid w:val="00A4310D"/>
    <w:rsid w:val="00AB0247"/>
    <w:rsid w:val="00AD7B34"/>
    <w:rsid w:val="00AE110D"/>
    <w:rsid w:val="00B742C1"/>
    <w:rsid w:val="00B83981"/>
    <w:rsid w:val="00BB5FDF"/>
    <w:rsid w:val="00BC27BF"/>
    <w:rsid w:val="00BF3A66"/>
    <w:rsid w:val="00C31C10"/>
    <w:rsid w:val="00C37BDE"/>
    <w:rsid w:val="00C6630C"/>
    <w:rsid w:val="00C7098B"/>
    <w:rsid w:val="00CA51EA"/>
    <w:rsid w:val="00CF4A24"/>
    <w:rsid w:val="00D07105"/>
    <w:rsid w:val="00D24159"/>
    <w:rsid w:val="00D86411"/>
    <w:rsid w:val="00D94E30"/>
    <w:rsid w:val="00DA35F8"/>
    <w:rsid w:val="00DB07EF"/>
    <w:rsid w:val="00DE492F"/>
    <w:rsid w:val="00DF3034"/>
    <w:rsid w:val="00E15B9C"/>
    <w:rsid w:val="00E30220"/>
    <w:rsid w:val="00E500FB"/>
    <w:rsid w:val="00E933A7"/>
    <w:rsid w:val="00EA6CF3"/>
    <w:rsid w:val="00ED4276"/>
    <w:rsid w:val="00EF6050"/>
    <w:rsid w:val="00F10668"/>
    <w:rsid w:val="00F47AD0"/>
    <w:rsid w:val="00FA5029"/>
    <w:rsid w:val="00FB0F20"/>
    <w:rsid w:val="00F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C6E87"/>
  <w15:chartTrackingRefBased/>
  <w15:docId w15:val="{FB6FDBE5-55C4-1A40-818D-991855B8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34"/>
    <w:pPr>
      <w:spacing w:line="360" w:lineRule="auto"/>
      <w:jc w:val="both"/>
    </w:pPr>
    <w:rPr>
      <w:rFonts w:eastAsia="Times New Roman" w:cs="Times New Roman"/>
      <w:noProof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DF3034"/>
    <w:rPr>
      <w:i/>
    </w:rPr>
  </w:style>
  <w:style w:type="paragraph" w:styleId="En-tte">
    <w:name w:val="header"/>
    <w:basedOn w:val="Normal"/>
    <w:link w:val="En-tteCar"/>
    <w:uiPriority w:val="99"/>
    <w:unhideWhenUsed/>
    <w:rsid w:val="00DF303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034"/>
    <w:rPr>
      <w:rFonts w:eastAsia="Times New Roman" w:cs="Times New Roman"/>
      <w:noProof/>
      <w:sz w:val="2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F303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034"/>
    <w:rPr>
      <w:rFonts w:eastAsia="Times New Roman" w:cs="Times New Roman"/>
      <w:noProof/>
      <w:sz w:val="22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F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Stauder</dc:creator>
  <cp:keywords/>
  <dc:description/>
  <cp:lastModifiedBy>comment</cp:lastModifiedBy>
  <cp:revision>32</cp:revision>
  <dcterms:created xsi:type="dcterms:W3CDTF">2021-08-28T14:22:00Z</dcterms:created>
  <dcterms:modified xsi:type="dcterms:W3CDTF">2022-06-11T14:36:00Z</dcterms:modified>
</cp:coreProperties>
</file>