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C9776" w14:textId="2D70775B" w:rsidR="00CB753B" w:rsidRPr="00214E3F" w:rsidRDefault="00181555" w:rsidP="00CB753B">
      <w:pPr>
        <w:jc w:val="center"/>
        <w:rPr>
          <w:rFonts w:cs="Times New Roman"/>
          <w:b/>
          <w:smallCaps/>
          <w:sz w:val="32"/>
          <w:szCs w:val="32"/>
        </w:rPr>
      </w:pPr>
      <w:r w:rsidRPr="00214E3F">
        <w:rPr>
          <w:rFonts w:cs="Times New Roman"/>
          <w:b/>
          <w:smallCaps/>
          <w:sz w:val="32"/>
          <w:szCs w:val="32"/>
        </w:rPr>
        <w:t>Journé</w:t>
      </w:r>
      <w:r w:rsidR="00513B0E">
        <w:rPr>
          <w:rFonts w:cs="Times New Roman"/>
          <w:b/>
          <w:smallCaps/>
          <w:sz w:val="32"/>
          <w:szCs w:val="32"/>
        </w:rPr>
        <w:t>́</w:t>
      </w:r>
      <w:r w:rsidRPr="00214E3F">
        <w:rPr>
          <w:rFonts w:cs="Times New Roman"/>
          <w:b/>
          <w:smallCaps/>
          <w:sz w:val="32"/>
          <w:szCs w:val="32"/>
        </w:rPr>
        <w:t>e d'</w:t>
      </w:r>
      <w:r w:rsidR="00513B0E">
        <w:rPr>
          <w:rFonts w:cs="Times New Roman"/>
          <w:b/>
          <w:smallCaps/>
          <w:sz w:val="32"/>
          <w:szCs w:val="32"/>
        </w:rPr>
        <w:t>é</w:t>
      </w:r>
      <w:r w:rsidRPr="00214E3F">
        <w:rPr>
          <w:rFonts w:cs="Times New Roman"/>
          <w:b/>
          <w:smallCaps/>
          <w:sz w:val="32"/>
          <w:szCs w:val="32"/>
        </w:rPr>
        <w:t>tudes :</w:t>
      </w:r>
    </w:p>
    <w:p w14:paraId="65CAFAE0" w14:textId="1250C60C" w:rsidR="00FD1AD2" w:rsidRPr="00214E3F" w:rsidRDefault="00BB3F9A" w:rsidP="00CB753B">
      <w:pPr>
        <w:jc w:val="center"/>
        <w:rPr>
          <w:rFonts w:cs="Times New Roman"/>
          <w:b/>
          <w:smallCaps/>
          <w:sz w:val="32"/>
          <w:szCs w:val="32"/>
        </w:rPr>
      </w:pPr>
      <w:r w:rsidRPr="00214E3F">
        <w:rPr>
          <w:rFonts w:cs="Times New Roman"/>
          <w:b/>
          <w:smallCaps/>
          <w:sz w:val="32"/>
          <w:szCs w:val="32"/>
        </w:rPr>
        <w:t>Linguistique</w:t>
      </w:r>
      <w:r w:rsidR="00181555" w:rsidRPr="00214E3F">
        <w:rPr>
          <w:rFonts w:cs="Times New Roman"/>
          <w:b/>
          <w:smallCaps/>
          <w:sz w:val="32"/>
          <w:szCs w:val="32"/>
        </w:rPr>
        <w:t xml:space="preserve"> des langues indo-europé</w:t>
      </w:r>
      <w:r w:rsidR="00513B0E">
        <w:rPr>
          <w:rFonts w:cs="Times New Roman"/>
          <w:b/>
          <w:smallCaps/>
          <w:sz w:val="32"/>
          <w:szCs w:val="32"/>
        </w:rPr>
        <w:t>́</w:t>
      </w:r>
      <w:r w:rsidR="00181555" w:rsidRPr="00214E3F">
        <w:rPr>
          <w:rFonts w:cs="Times New Roman"/>
          <w:b/>
          <w:smallCaps/>
          <w:sz w:val="32"/>
          <w:szCs w:val="32"/>
        </w:rPr>
        <w:t>ennes</w:t>
      </w:r>
    </w:p>
    <w:p w14:paraId="411F98FB" w14:textId="77777777" w:rsidR="00372F3F" w:rsidRPr="00214E3F" w:rsidRDefault="00372F3F" w:rsidP="00CB753B">
      <w:pPr>
        <w:jc w:val="center"/>
        <w:rPr>
          <w:rFonts w:cs="Times New Roman"/>
          <w:sz w:val="28"/>
          <w:szCs w:val="28"/>
        </w:rPr>
      </w:pPr>
    </w:p>
    <w:p w14:paraId="46454FD2" w14:textId="0CA030D9" w:rsidR="00803BDD" w:rsidRPr="00214E3F" w:rsidRDefault="002639DE" w:rsidP="00CB753B">
      <w:pPr>
        <w:jc w:val="center"/>
        <w:rPr>
          <w:rFonts w:cs="Times New Roman"/>
          <w:sz w:val="28"/>
          <w:szCs w:val="28"/>
        </w:rPr>
      </w:pPr>
      <w:r w:rsidRPr="00214E3F">
        <w:rPr>
          <w:rFonts w:cs="Times New Roman"/>
          <w:sz w:val="28"/>
          <w:szCs w:val="28"/>
        </w:rPr>
        <w:t xml:space="preserve">Samedi </w:t>
      </w:r>
      <w:r w:rsidR="00BB3F9A" w:rsidRPr="00214E3F">
        <w:rPr>
          <w:rFonts w:cs="Times New Roman"/>
          <w:sz w:val="28"/>
          <w:szCs w:val="28"/>
        </w:rPr>
        <w:t>7</w:t>
      </w:r>
      <w:r w:rsidRPr="00214E3F">
        <w:rPr>
          <w:rFonts w:cs="Times New Roman"/>
          <w:sz w:val="28"/>
          <w:szCs w:val="28"/>
        </w:rPr>
        <w:t xml:space="preserve"> </w:t>
      </w:r>
      <w:r w:rsidR="00BB3F9A" w:rsidRPr="00214E3F">
        <w:rPr>
          <w:rFonts w:cs="Times New Roman"/>
          <w:sz w:val="28"/>
          <w:szCs w:val="28"/>
        </w:rPr>
        <w:t>mai</w:t>
      </w:r>
      <w:r w:rsidR="00EA4761" w:rsidRPr="00214E3F">
        <w:rPr>
          <w:rFonts w:cs="Times New Roman"/>
          <w:sz w:val="28"/>
          <w:szCs w:val="28"/>
        </w:rPr>
        <w:t xml:space="preserve"> </w:t>
      </w:r>
      <w:r w:rsidR="00BB3F9A" w:rsidRPr="00214E3F">
        <w:rPr>
          <w:rFonts w:cs="Times New Roman"/>
          <w:sz w:val="28"/>
          <w:szCs w:val="28"/>
        </w:rPr>
        <w:t>2022</w:t>
      </w:r>
    </w:p>
    <w:p w14:paraId="6C163820" w14:textId="77777777" w:rsidR="00CD10CA" w:rsidRPr="00214E3F" w:rsidRDefault="00CD10CA" w:rsidP="00CD10CA">
      <w:pPr>
        <w:jc w:val="center"/>
        <w:rPr>
          <w:rFonts w:cs="Times New Roman"/>
          <w:sz w:val="28"/>
          <w:szCs w:val="28"/>
        </w:rPr>
      </w:pPr>
    </w:p>
    <w:p w14:paraId="50C68CD9" w14:textId="787EA442" w:rsidR="00CD10CA" w:rsidRPr="00214E3F" w:rsidRDefault="00CD10CA" w:rsidP="00CD10CA">
      <w:pPr>
        <w:jc w:val="center"/>
        <w:rPr>
          <w:rFonts w:cs="Times New Roman"/>
          <w:sz w:val="28"/>
          <w:szCs w:val="28"/>
        </w:rPr>
      </w:pPr>
      <w:r w:rsidRPr="00214E3F">
        <w:rPr>
          <w:rFonts w:cs="Times New Roman"/>
          <w:sz w:val="28"/>
          <w:szCs w:val="28"/>
        </w:rPr>
        <w:t>École Normale Supérieure, 45 rue d'Ulm, 75005 Paris</w:t>
      </w:r>
    </w:p>
    <w:p w14:paraId="6482F37C" w14:textId="38FF5A5D" w:rsidR="00CD10CA" w:rsidRPr="00214E3F" w:rsidRDefault="00CD10CA" w:rsidP="00CD10CA">
      <w:pPr>
        <w:jc w:val="center"/>
        <w:rPr>
          <w:rFonts w:cs="Times New Roman"/>
          <w:sz w:val="28"/>
          <w:szCs w:val="28"/>
        </w:rPr>
      </w:pPr>
      <w:r w:rsidRPr="00795A97">
        <w:rPr>
          <w:rFonts w:cs="Times New Roman"/>
          <w:sz w:val="28"/>
          <w:szCs w:val="28"/>
        </w:rPr>
        <w:t>Salle</w:t>
      </w:r>
      <w:r w:rsidR="00795A97" w:rsidRPr="00795A97">
        <w:rPr>
          <w:rFonts w:cs="Times New Roman"/>
          <w:sz w:val="28"/>
          <w:szCs w:val="28"/>
        </w:rPr>
        <w:t xml:space="preserve"> des Résistants</w:t>
      </w:r>
    </w:p>
    <w:p w14:paraId="284E6658" w14:textId="77777777" w:rsidR="002639DE" w:rsidRPr="0071171F" w:rsidRDefault="002639DE">
      <w:pPr>
        <w:rPr>
          <w:rFonts w:cs="Times New Roman"/>
        </w:rPr>
      </w:pPr>
    </w:p>
    <w:tbl>
      <w:tblPr>
        <w:tblStyle w:val="Grilledutableau"/>
        <w:tblW w:w="9480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8460"/>
      </w:tblGrid>
      <w:tr w:rsidR="00B243AA" w:rsidRPr="0071171F" w14:paraId="5EE1755B" w14:textId="77777777" w:rsidTr="00B243AA">
        <w:trPr>
          <w:trHeight w:val="167"/>
        </w:trPr>
        <w:tc>
          <w:tcPr>
            <w:tcW w:w="1020" w:type="dxa"/>
          </w:tcPr>
          <w:p w14:paraId="40B0446B" w14:textId="77777777" w:rsidR="001E71C6" w:rsidRPr="0071171F" w:rsidRDefault="001E71C6" w:rsidP="003C02C4">
            <w:pPr>
              <w:rPr>
                <w:rFonts w:eastAsia="Times New Roman" w:cs="Times New Roman"/>
              </w:rPr>
            </w:pPr>
          </w:p>
        </w:tc>
        <w:tc>
          <w:tcPr>
            <w:tcW w:w="8460" w:type="dxa"/>
          </w:tcPr>
          <w:p w14:paraId="642AF40D" w14:textId="7B9B7907" w:rsidR="001E71C6" w:rsidRPr="0071171F" w:rsidRDefault="001E71C6" w:rsidP="00140469">
            <w:pPr>
              <w:pStyle w:val="presidentJE"/>
              <w:rPr>
                <w:rFonts w:cs="Times New Roman"/>
                <w:smallCaps/>
              </w:rPr>
            </w:pPr>
          </w:p>
        </w:tc>
      </w:tr>
      <w:tr w:rsidR="00B243AA" w:rsidRPr="0071171F" w14:paraId="4CE0FBE0" w14:textId="77777777" w:rsidTr="00B243AA">
        <w:trPr>
          <w:trHeight w:val="190"/>
        </w:trPr>
        <w:tc>
          <w:tcPr>
            <w:tcW w:w="1020" w:type="dxa"/>
          </w:tcPr>
          <w:p w14:paraId="0A600DB6" w14:textId="6E4E606D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>9h</w:t>
            </w:r>
          </w:p>
        </w:tc>
        <w:tc>
          <w:tcPr>
            <w:tcW w:w="8460" w:type="dxa"/>
          </w:tcPr>
          <w:p w14:paraId="43EF5A5B" w14:textId="77777777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 xml:space="preserve">Daniel </w:t>
            </w:r>
            <w:r w:rsidRPr="00214E3F">
              <w:rPr>
                <w:rFonts w:cs="Times New Roman"/>
                <w:smallCaps/>
                <w:sz w:val="28"/>
                <w:szCs w:val="28"/>
              </w:rPr>
              <w:t>Petit</w:t>
            </w:r>
            <w:r w:rsidRPr="00214E3F">
              <w:rPr>
                <w:rFonts w:cs="Times New Roman"/>
                <w:sz w:val="28"/>
                <w:szCs w:val="28"/>
              </w:rPr>
              <w:t xml:space="preserve"> (ENS et EPHE)</w:t>
            </w:r>
          </w:p>
          <w:p w14:paraId="2A48FB64" w14:textId="53773D21" w:rsidR="00DC56CA" w:rsidRPr="00214E3F" w:rsidRDefault="00DC56CA" w:rsidP="00214E3F">
            <w:pPr>
              <w:pStyle w:val="titreJE"/>
              <w:rPr>
                <w:lang/>
              </w:rPr>
            </w:pPr>
            <w:r w:rsidRPr="00214E3F">
              <w:t>«</w:t>
            </w:r>
            <w:r w:rsidR="0071171F" w:rsidRPr="00214E3F">
              <w:t> Le redoublement pronominal en lycien et son parallèle balkanique</w:t>
            </w:r>
            <w:r w:rsidR="008C4701" w:rsidRPr="00214E3F">
              <w:t>.</w:t>
            </w:r>
            <w:r w:rsidRPr="00214E3F">
              <w:t> »</w:t>
            </w:r>
          </w:p>
        </w:tc>
      </w:tr>
      <w:tr w:rsidR="00B243AA" w:rsidRPr="0071171F" w14:paraId="7A1861EA" w14:textId="77777777" w:rsidTr="00B243AA">
        <w:trPr>
          <w:trHeight w:val="466"/>
        </w:trPr>
        <w:tc>
          <w:tcPr>
            <w:tcW w:w="1020" w:type="dxa"/>
          </w:tcPr>
          <w:p w14:paraId="6E2BA454" w14:textId="091F4463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>9h35</w:t>
            </w:r>
          </w:p>
        </w:tc>
        <w:tc>
          <w:tcPr>
            <w:tcW w:w="8460" w:type="dxa"/>
          </w:tcPr>
          <w:p w14:paraId="16D27671" w14:textId="34892E1A" w:rsidR="00DC56CA" w:rsidRPr="00214E3F" w:rsidRDefault="00C77ED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 xml:space="preserve">Timothée </w:t>
            </w:r>
            <w:r w:rsidRPr="00214E3F">
              <w:rPr>
                <w:rFonts w:cs="Times New Roman"/>
                <w:smallCaps/>
                <w:sz w:val="28"/>
                <w:szCs w:val="28"/>
              </w:rPr>
              <w:t>Chamot-Rooke</w:t>
            </w:r>
            <w:r w:rsidRPr="00214E3F">
              <w:rPr>
                <w:rFonts w:cs="Times New Roman"/>
                <w:sz w:val="28"/>
                <w:szCs w:val="28"/>
              </w:rPr>
              <w:t xml:space="preserve"> (</w:t>
            </w:r>
            <w:r w:rsidR="00B1581B" w:rsidRPr="00214E3F">
              <w:rPr>
                <w:rFonts w:cs="Times New Roman"/>
                <w:sz w:val="28"/>
                <w:szCs w:val="28"/>
              </w:rPr>
              <w:t>EPHE</w:t>
            </w:r>
            <w:r w:rsidRPr="00214E3F">
              <w:rPr>
                <w:rFonts w:cs="Times New Roman"/>
                <w:sz w:val="28"/>
                <w:szCs w:val="28"/>
              </w:rPr>
              <w:t>)</w:t>
            </w:r>
          </w:p>
          <w:p w14:paraId="5016145F" w14:textId="746ADAB1" w:rsidR="00DC56CA" w:rsidRPr="00214E3F" w:rsidRDefault="00DC56CA" w:rsidP="0071171F">
            <w:pPr>
              <w:pStyle w:val="titreJE"/>
              <w:rPr>
                <w:szCs w:val="28"/>
                <w:lang/>
              </w:rPr>
            </w:pPr>
            <w:r w:rsidRPr="00214E3F">
              <w:rPr>
                <w:szCs w:val="28"/>
              </w:rPr>
              <w:t>« </w:t>
            </w:r>
            <w:r w:rsidR="0071171F" w:rsidRPr="00214E3F">
              <w:rPr>
                <w:szCs w:val="28"/>
              </w:rPr>
              <w:t xml:space="preserve">La voyelle présuffixale dans les adjectifs tokhariens en A </w:t>
            </w:r>
            <w:r w:rsidR="00214E3F">
              <w:rPr>
                <w:szCs w:val="28"/>
              </w:rPr>
              <w:noBreakHyphen/>
            </w:r>
            <w:r w:rsidR="0071171F" w:rsidRPr="00214E3F">
              <w:rPr>
                <w:i/>
                <w:iCs/>
                <w:szCs w:val="28"/>
              </w:rPr>
              <w:t>ṣi</w:t>
            </w:r>
            <w:r w:rsidR="0071171F" w:rsidRPr="00214E3F">
              <w:rPr>
                <w:szCs w:val="28"/>
              </w:rPr>
              <w:t xml:space="preserve"> / B </w:t>
            </w:r>
            <w:r w:rsidR="00214E3F">
              <w:rPr>
                <w:szCs w:val="28"/>
              </w:rPr>
              <w:noBreakHyphen/>
            </w:r>
            <w:r w:rsidR="0071171F" w:rsidRPr="00214E3F">
              <w:rPr>
                <w:i/>
                <w:iCs/>
                <w:szCs w:val="28"/>
              </w:rPr>
              <w:t>ṣṣe</w:t>
            </w:r>
            <w:r w:rsidR="008C4701" w:rsidRPr="00214E3F">
              <w:rPr>
                <w:szCs w:val="28"/>
              </w:rPr>
              <w:t>.</w:t>
            </w:r>
            <w:r w:rsidRPr="00214E3F">
              <w:rPr>
                <w:szCs w:val="28"/>
              </w:rPr>
              <w:t> »</w:t>
            </w:r>
          </w:p>
        </w:tc>
      </w:tr>
      <w:tr w:rsidR="00B243AA" w:rsidRPr="0071171F" w14:paraId="0E8BAA56" w14:textId="77777777" w:rsidTr="00B243AA">
        <w:trPr>
          <w:trHeight w:val="152"/>
        </w:trPr>
        <w:tc>
          <w:tcPr>
            <w:tcW w:w="1020" w:type="dxa"/>
            <w:shd w:val="clear" w:color="auto" w:fill="auto"/>
          </w:tcPr>
          <w:p w14:paraId="1471534F" w14:textId="0F8F4756" w:rsidR="00DC56CA" w:rsidRPr="00214E3F" w:rsidRDefault="00DC56CA" w:rsidP="00EA4761">
            <w:pPr>
              <w:spacing w:after="12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214E3F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10h10 </w:t>
            </w:r>
          </w:p>
        </w:tc>
        <w:tc>
          <w:tcPr>
            <w:tcW w:w="8460" w:type="dxa"/>
            <w:shd w:val="clear" w:color="auto" w:fill="auto"/>
          </w:tcPr>
          <w:p w14:paraId="3C89D3B5" w14:textId="399E195F" w:rsidR="00DC56CA" w:rsidRPr="00214E3F" w:rsidRDefault="00DC56CA" w:rsidP="00EA4761">
            <w:pPr>
              <w:spacing w:after="120"/>
              <w:jc w:val="left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214E3F">
              <w:rPr>
                <w:rFonts w:eastAsia="Times New Roman" w:cs="Times New Roman"/>
                <w:b/>
                <w:i/>
                <w:sz w:val="28"/>
                <w:szCs w:val="28"/>
              </w:rPr>
              <w:t>Pause</w:t>
            </w:r>
          </w:p>
        </w:tc>
      </w:tr>
      <w:tr w:rsidR="00B243AA" w:rsidRPr="0071171F" w14:paraId="5E66D8ED" w14:textId="77777777" w:rsidTr="00B243AA">
        <w:trPr>
          <w:trHeight w:val="152"/>
        </w:trPr>
        <w:tc>
          <w:tcPr>
            <w:tcW w:w="1020" w:type="dxa"/>
          </w:tcPr>
          <w:p w14:paraId="1F126815" w14:textId="77777777" w:rsidR="00803BDD" w:rsidRPr="00214E3F" w:rsidRDefault="00803BDD" w:rsidP="003C02C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14:paraId="202FA202" w14:textId="379C209A" w:rsidR="00803BDD" w:rsidRPr="00214E3F" w:rsidRDefault="00803BDD" w:rsidP="00B243AA">
            <w:pPr>
              <w:pStyle w:val="presidentJE"/>
              <w:rPr>
                <w:rFonts w:cs="Times New Roman"/>
                <w:sz w:val="28"/>
                <w:szCs w:val="28"/>
              </w:rPr>
            </w:pPr>
          </w:p>
        </w:tc>
      </w:tr>
      <w:tr w:rsidR="00B243AA" w:rsidRPr="0071171F" w14:paraId="63E911E0" w14:textId="77777777" w:rsidTr="00B243AA">
        <w:trPr>
          <w:trHeight w:val="336"/>
        </w:trPr>
        <w:tc>
          <w:tcPr>
            <w:tcW w:w="1020" w:type="dxa"/>
          </w:tcPr>
          <w:p w14:paraId="2A9CF0C3" w14:textId="75CD3ED5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>10h40</w:t>
            </w:r>
          </w:p>
        </w:tc>
        <w:tc>
          <w:tcPr>
            <w:tcW w:w="8460" w:type="dxa"/>
          </w:tcPr>
          <w:p w14:paraId="30435E5B" w14:textId="0DA00DDB" w:rsidR="00DC56CA" w:rsidRPr="00214E3F" w:rsidRDefault="00C77ED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 xml:space="preserve">Véronique </w:t>
            </w:r>
            <w:r w:rsidRPr="00214E3F">
              <w:rPr>
                <w:rFonts w:cs="Times New Roman"/>
                <w:smallCaps/>
                <w:sz w:val="28"/>
                <w:szCs w:val="28"/>
              </w:rPr>
              <w:t>Kremmer (</w:t>
            </w:r>
            <w:r w:rsidR="0071171F" w:rsidRPr="00214E3F">
              <w:rPr>
                <w:rFonts w:cs="Times New Roman"/>
                <w:smallCaps/>
                <w:sz w:val="28"/>
                <w:szCs w:val="28"/>
              </w:rPr>
              <w:t>EPHE</w:t>
            </w:r>
            <w:r w:rsidRPr="00214E3F">
              <w:rPr>
                <w:rFonts w:cs="Times New Roman"/>
                <w:smallCaps/>
                <w:sz w:val="28"/>
                <w:szCs w:val="28"/>
              </w:rPr>
              <w:t>)</w:t>
            </w:r>
          </w:p>
          <w:p w14:paraId="1972CB2C" w14:textId="6EF7E113" w:rsidR="00DC56CA" w:rsidRPr="00214E3F" w:rsidRDefault="00DC56CA" w:rsidP="0071171F">
            <w:pPr>
              <w:pStyle w:val="titreJE"/>
              <w:rPr>
                <w:szCs w:val="28"/>
                <w:lang/>
              </w:rPr>
            </w:pPr>
            <w:r w:rsidRPr="00214E3F">
              <w:rPr>
                <w:szCs w:val="28"/>
              </w:rPr>
              <w:t>« </w:t>
            </w:r>
            <w:r w:rsidR="0071171F" w:rsidRPr="00214E3F">
              <w:rPr>
                <w:szCs w:val="28"/>
              </w:rPr>
              <w:t xml:space="preserve">Ruminations sur </w:t>
            </w:r>
            <w:r w:rsidR="005F31EF">
              <w:rPr>
                <w:szCs w:val="28"/>
              </w:rPr>
              <w:t>t</w:t>
            </w:r>
            <w:r w:rsidR="0071171F" w:rsidRPr="00214E3F">
              <w:rPr>
                <w:szCs w:val="28"/>
              </w:rPr>
              <w:t>okh</w:t>
            </w:r>
            <w:r w:rsidR="000132A6">
              <w:rPr>
                <w:szCs w:val="28"/>
              </w:rPr>
              <w:t>arien</w:t>
            </w:r>
            <w:r w:rsidR="0071171F" w:rsidRPr="00214E3F">
              <w:rPr>
                <w:szCs w:val="28"/>
              </w:rPr>
              <w:t xml:space="preserve"> A </w:t>
            </w:r>
            <w:r w:rsidR="0071171F" w:rsidRPr="00214E3F">
              <w:rPr>
                <w:i/>
                <w:iCs/>
                <w:szCs w:val="28"/>
              </w:rPr>
              <w:t>śemäl</w:t>
            </w:r>
            <w:r w:rsidR="0071171F" w:rsidRPr="00214E3F">
              <w:rPr>
                <w:szCs w:val="28"/>
              </w:rPr>
              <w:t xml:space="preserve"> </w:t>
            </w:r>
            <w:r w:rsidR="00D312AA" w:rsidRPr="00214E3F">
              <w:rPr>
                <w:szCs w:val="28"/>
              </w:rPr>
              <w:t>“</w:t>
            </w:r>
            <w:r w:rsidR="0071171F" w:rsidRPr="00214E3F">
              <w:rPr>
                <w:szCs w:val="28"/>
              </w:rPr>
              <w:t>petit bétail</w:t>
            </w:r>
            <w:r w:rsidR="00D312AA" w:rsidRPr="00214E3F">
              <w:rPr>
                <w:szCs w:val="28"/>
              </w:rPr>
              <w:t>”</w:t>
            </w:r>
            <w:r w:rsidR="0071171F" w:rsidRPr="00214E3F">
              <w:rPr>
                <w:szCs w:val="28"/>
              </w:rPr>
              <w:t>.</w:t>
            </w:r>
            <w:r w:rsidRPr="00214E3F">
              <w:rPr>
                <w:szCs w:val="28"/>
              </w:rPr>
              <w:t> »</w:t>
            </w:r>
          </w:p>
        </w:tc>
      </w:tr>
      <w:tr w:rsidR="00B243AA" w:rsidRPr="0071171F" w14:paraId="1EBE9C91" w14:textId="77777777" w:rsidTr="00B243AA">
        <w:trPr>
          <w:trHeight w:val="628"/>
        </w:trPr>
        <w:tc>
          <w:tcPr>
            <w:tcW w:w="1020" w:type="dxa"/>
          </w:tcPr>
          <w:p w14:paraId="7F5FB5BB" w14:textId="1191B610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>11h15</w:t>
            </w:r>
          </w:p>
        </w:tc>
        <w:tc>
          <w:tcPr>
            <w:tcW w:w="8460" w:type="dxa"/>
          </w:tcPr>
          <w:p w14:paraId="75F29DB1" w14:textId="77777777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 xml:space="preserve">Emmanuel </w:t>
            </w:r>
            <w:r w:rsidRPr="00214E3F">
              <w:rPr>
                <w:rFonts w:cs="Times New Roman"/>
                <w:smallCaps/>
                <w:sz w:val="28"/>
                <w:szCs w:val="28"/>
              </w:rPr>
              <w:t>Dupraz</w:t>
            </w:r>
            <w:r w:rsidRPr="00214E3F">
              <w:rPr>
                <w:rFonts w:cs="Times New Roman"/>
                <w:sz w:val="28"/>
                <w:szCs w:val="28"/>
              </w:rPr>
              <w:t xml:space="preserve"> (ULB et EPHE)</w:t>
            </w:r>
          </w:p>
          <w:p w14:paraId="47ABA3FB" w14:textId="58821B15" w:rsidR="00DC56CA" w:rsidRPr="00214E3F" w:rsidRDefault="00DC56CA" w:rsidP="00214E3F">
            <w:pPr>
              <w:pStyle w:val="titreJE"/>
              <w:rPr>
                <w:lang/>
              </w:rPr>
            </w:pPr>
            <w:r w:rsidRPr="00214E3F">
              <w:t>« </w:t>
            </w:r>
            <w:r w:rsidR="0071171F" w:rsidRPr="00214E3F">
              <w:t>La corrélation dans les préambules de textes officiels étrusques et italiques. »</w:t>
            </w:r>
          </w:p>
        </w:tc>
      </w:tr>
      <w:tr w:rsidR="00B243AA" w:rsidRPr="0071171F" w14:paraId="3D60C69F" w14:textId="77777777" w:rsidTr="00B243AA">
        <w:trPr>
          <w:trHeight w:val="207"/>
        </w:trPr>
        <w:tc>
          <w:tcPr>
            <w:tcW w:w="1020" w:type="dxa"/>
            <w:shd w:val="clear" w:color="auto" w:fill="auto"/>
          </w:tcPr>
          <w:p w14:paraId="11892BFD" w14:textId="7A49318A" w:rsidR="00DC56CA" w:rsidRPr="00214E3F" w:rsidRDefault="00DC56CA" w:rsidP="00EA4761">
            <w:pPr>
              <w:spacing w:after="12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214E3F">
              <w:rPr>
                <w:rFonts w:eastAsia="Times New Roman" w:cs="Times New Roman"/>
                <w:b/>
                <w:i/>
                <w:sz w:val="28"/>
                <w:szCs w:val="28"/>
              </w:rPr>
              <w:t>11h50</w:t>
            </w:r>
          </w:p>
        </w:tc>
        <w:tc>
          <w:tcPr>
            <w:tcW w:w="8460" w:type="dxa"/>
            <w:shd w:val="clear" w:color="auto" w:fill="auto"/>
          </w:tcPr>
          <w:p w14:paraId="1E58527A" w14:textId="0E19CEAB" w:rsidR="00DC56CA" w:rsidRPr="00214E3F" w:rsidRDefault="00DC56CA" w:rsidP="00EA4761">
            <w:pPr>
              <w:spacing w:after="12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214E3F">
              <w:rPr>
                <w:rFonts w:eastAsia="Times New Roman" w:cs="Times New Roman"/>
                <w:b/>
                <w:i/>
                <w:sz w:val="28"/>
                <w:szCs w:val="28"/>
              </w:rPr>
              <w:t>Déjeuner</w:t>
            </w:r>
          </w:p>
        </w:tc>
      </w:tr>
      <w:tr w:rsidR="00B243AA" w:rsidRPr="0071171F" w14:paraId="5F03EAD0" w14:textId="77777777" w:rsidTr="00B243AA">
        <w:trPr>
          <w:trHeight w:val="152"/>
        </w:trPr>
        <w:tc>
          <w:tcPr>
            <w:tcW w:w="1020" w:type="dxa"/>
          </w:tcPr>
          <w:p w14:paraId="44B0935C" w14:textId="77777777" w:rsidR="00803BDD" w:rsidRPr="00214E3F" w:rsidRDefault="00803BDD" w:rsidP="003C02C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14:paraId="451202D8" w14:textId="5C11F2CA" w:rsidR="00803BDD" w:rsidRPr="00214E3F" w:rsidRDefault="00803BDD" w:rsidP="00B243AA">
            <w:pPr>
              <w:pStyle w:val="presidentJE"/>
              <w:rPr>
                <w:rFonts w:cs="Times New Roman"/>
                <w:sz w:val="28"/>
                <w:szCs w:val="28"/>
              </w:rPr>
            </w:pPr>
          </w:p>
        </w:tc>
      </w:tr>
      <w:tr w:rsidR="00B243AA" w:rsidRPr="0071171F" w14:paraId="0B96C94C" w14:textId="77777777" w:rsidTr="00B243AA">
        <w:trPr>
          <w:trHeight w:val="179"/>
        </w:trPr>
        <w:tc>
          <w:tcPr>
            <w:tcW w:w="1020" w:type="dxa"/>
          </w:tcPr>
          <w:p w14:paraId="34541F4E" w14:textId="10F69311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>14h10</w:t>
            </w:r>
          </w:p>
        </w:tc>
        <w:tc>
          <w:tcPr>
            <w:tcW w:w="8460" w:type="dxa"/>
          </w:tcPr>
          <w:p w14:paraId="79EFC80B" w14:textId="4E5DFD6D" w:rsidR="00DC56CA" w:rsidRPr="00214E3F" w:rsidRDefault="00B1581B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 xml:space="preserve">Marion </w:t>
            </w:r>
            <w:r w:rsidRPr="00214E3F">
              <w:rPr>
                <w:rFonts w:cs="Times New Roman"/>
                <w:smallCaps/>
                <w:sz w:val="28"/>
                <w:szCs w:val="28"/>
              </w:rPr>
              <w:t>Bourgasser</w:t>
            </w:r>
            <w:r w:rsidRPr="00214E3F">
              <w:rPr>
                <w:rFonts w:cs="Times New Roman"/>
                <w:sz w:val="28"/>
                <w:szCs w:val="28"/>
              </w:rPr>
              <w:t xml:space="preserve"> </w:t>
            </w:r>
            <w:r w:rsidR="00DC56CA" w:rsidRPr="00214E3F">
              <w:rPr>
                <w:rFonts w:cs="Times New Roman"/>
                <w:sz w:val="28"/>
                <w:szCs w:val="28"/>
              </w:rPr>
              <w:t>(</w:t>
            </w:r>
            <w:r w:rsidR="0069100C" w:rsidRPr="00214E3F">
              <w:rPr>
                <w:rFonts w:cs="Times New Roman"/>
                <w:sz w:val="28"/>
                <w:szCs w:val="28"/>
              </w:rPr>
              <w:t>Sorbonne Université</w:t>
            </w:r>
            <w:r w:rsidR="00DC56CA" w:rsidRPr="00214E3F">
              <w:rPr>
                <w:rFonts w:cs="Times New Roman"/>
                <w:sz w:val="28"/>
                <w:szCs w:val="28"/>
              </w:rPr>
              <w:t>)</w:t>
            </w:r>
          </w:p>
          <w:p w14:paraId="67DC5ADD" w14:textId="0082A769" w:rsidR="00DC56CA" w:rsidRPr="00214E3F" w:rsidRDefault="00DC56CA" w:rsidP="0071171F">
            <w:pPr>
              <w:pStyle w:val="titreJE"/>
              <w:rPr>
                <w:szCs w:val="28"/>
                <w:lang/>
              </w:rPr>
            </w:pPr>
            <w:r w:rsidRPr="00214E3F">
              <w:rPr>
                <w:szCs w:val="28"/>
              </w:rPr>
              <w:t>« </w:t>
            </w:r>
            <w:r w:rsidR="0069100C" w:rsidRPr="00214E3F">
              <w:rPr>
                <w:szCs w:val="28"/>
              </w:rPr>
              <w:t>La construction de μιμνήσκομαι</w:t>
            </w:r>
            <w:r w:rsidR="0071171F" w:rsidRPr="00214E3F">
              <w:rPr>
                <w:szCs w:val="28"/>
              </w:rPr>
              <w:t>.</w:t>
            </w:r>
            <w:r w:rsidRPr="00214E3F">
              <w:rPr>
                <w:szCs w:val="28"/>
              </w:rPr>
              <w:t> »</w:t>
            </w:r>
          </w:p>
        </w:tc>
      </w:tr>
      <w:tr w:rsidR="00B243AA" w:rsidRPr="0071171F" w14:paraId="4E260C53" w14:textId="77777777" w:rsidTr="00B243AA">
        <w:trPr>
          <w:trHeight w:val="315"/>
        </w:trPr>
        <w:tc>
          <w:tcPr>
            <w:tcW w:w="1020" w:type="dxa"/>
          </w:tcPr>
          <w:p w14:paraId="32B52980" w14:textId="75511557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>14h45</w:t>
            </w:r>
          </w:p>
        </w:tc>
        <w:tc>
          <w:tcPr>
            <w:tcW w:w="8460" w:type="dxa"/>
          </w:tcPr>
          <w:p w14:paraId="10D146F1" w14:textId="73998442" w:rsidR="00DC56CA" w:rsidRPr="00214E3F" w:rsidRDefault="00B1581B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 xml:space="preserve">Athanaric </w:t>
            </w:r>
            <w:r w:rsidRPr="00214E3F">
              <w:rPr>
                <w:rFonts w:cs="Times New Roman"/>
                <w:smallCaps/>
                <w:sz w:val="28"/>
                <w:szCs w:val="28"/>
              </w:rPr>
              <w:t>Huard</w:t>
            </w:r>
            <w:r w:rsidR="0071171F" w:rsidRPr="00214E3F">
              <w:rPr>
                <w:rFonts w:cs="Times New Roman"/>
                <w:smallCaps/>
                <w:sz w:val="28"/>
                <w:szCs w:val="28"/>
              </w:rPr>
              <w:t xml:space="preserve"> (EPHE)</w:t>
            </w:r>
          </w:p>
          <w:p w14:paraId="5969E293" w14:textId="3C0E1663" w:rsidR="00DC56CA" w:rsidRPr="00214E3F" w:rsidRDefault="00DC56CA" w:rsidP="0071171F">
            <w:pPr>
              <w:pStyle w:val="titreJE"/>
              <w:rPr>
                <w:szCs w:val="28"/>
                <w:lang/>
              </w:rPr>
            </w:pPr>
            <w:r w:rsidRPr="00214E3F">
              <w:rPr>
                <w:szCs w:val="28"/>
              </w:rPr>
              <w:t>« </w:t>
            </w:r>
            <w:r w:rsidR="0069100C" w:rsidRPr="00214E3F">
              <w:rPr>
                <w:i/>
                <w:iCs/>
                <w:szCs w:val="28"/>
              </w:rPr>
              <w:t>Nunc ubi saeva manus</w:t>
            </w:r>
            <w:r w:rsidR="0071171F" w:rsidRPr="00214E3F">
              <w:rPr>
                <w:i/>
                <w:iCs/>
                <w:szCs w:val="28"/>
              </w:rPr>
              <w:t> </w:t>
            </w:r>
            <w:r w:rsidR="0069100C" w:rsidRPr="00214E3F">
              <w:rPr>
                <w:szCs w:val="28"/>
              </w:rPr>
              <w:t xml:space="preserve">: à propos de </w:t>
            </w:r>
            <w:r w:rsidR="0071171F" w:rsidRPr="00214E3F">
              <w:rPr>
                <w:szCs w:val="28"/>
              </w:rPr>
              <w:t>tokharien</w:t>
            </w:r>
            <w:r w:rsidR="0069100C" w:rsidRPr="00214E3F">
              <w:rPr>
                <w:szCs w:val="28"/>
              </w:rPr>
              <w:t xml:space="preserve"> B </w:t>
            </w:r>
            <w:r w:rsidR="0069100C" w:rsidRPr="00214E3F">
              <w:rPr>
                <w:i/>
                <w:iCs/>
                <w:szCs w:val="28"/>
              </w:rPr>
              <w:t>śwālyai</w:t>
            </w:r>
            <w:r w:rsidR="0069100C" w:rsidRPr="00214E3F">
              <w:rPr>
                <w:szCs w:val="28"/>
              </w:rPr>
              <w:t xml:space="preserve"> </w:t>
            </w:r>
            <w:r w:rsidR="0071171F" w:rsidRPr="00214E3F">
              <w:rPr>
                <w:szCs w:val="28"/>
              </w:rPr>
              <w:t>“</w:t>
            </w:r>
            <w:r w:rsidR="0069100C" w:rsidRPr="00214E3F">
              <w:rPr>
                <w:szCs w:val="28"/>
              </w:rPr>
              <w:t>droit</w:t>
            </w:r>
            <w:r w:rsidR="0071171F" w:rsidRPr="00214E3F">
              <w:rPr>
                <w:szCs w:val="28"/>
              </w:rPr>
              <w:t>”</w:t>
            </w:r>
            <w:r w:rsidR="0069100C" w:rsidRPr="00214E3F">
              <w:rPr>
                <w:szCs w:val="28"/>
              </w:rPr>
              <w:t xml:space="preserve"> et </w:t>
            </w:r>
            <w:r w:rsidR="0069100C" w:rsidRPr="00214E3F">
              <w:rPr>
                <w:i/>
                <w:iCs/>
                <w:szCs w:val="28"/>
              </w:rPr>
              <w:t>saiwai</w:t>
            </w:r>
            <w:r w:rsidR="0069100C" w:rsidRPr="00214E3F">
              <w:rPr>
                <w:szCs w:val="28"/>
              </w:rPr>
              <w:t xml:space="preserve"> </w:t>
            </w:r>
            <w:r w:rsidR="0071171F" w:rsidRPr="00214E3F">
              <w:rPr>
                <w:szCs w:val="28"/>
              </w:rPr>
              <w:t>“</w:t>
            </w:r>
            <w:r w:rsidR="0069100C" w:rsidRPr="00214E3F">
              <w:rPr>
                <w:szCs w:val="28"/>
              </w:rPr>
              <w:t>gauche</w:t>
            </w:r>
            <w:r w:rsidR="0071171F" w:rsidRPr="00214E3F">
              <w:rPr>
                <w:szCs w:val="28"/>
              </w:rPr>
              <w:t>”</w:t>
            </w:r>
            <w:r w:rsidR="00C37506">
              <w:rPr>
                <w:szCs w:val="28"/>
              </w:rPr>
              <w:t>.</w:t>
            </w:r>
            <w:r w:rsidR="0071171F" w:rsidRPr="00214E3F">
              <w:rPr>
                <w:szCs w:val="28"/>
              </w:rPr>
              <w:t> </w:t>
            </w:r>
            <w:r w:rsidR="0069100C" w:rsidRPr="00214E3F">
              <w:rPr>
                <w:szCs w:val="28"/>
              </w:rPr>
              <w:t>»</w:t>
            </w:r>
          </w:p>
        </w:tc>
      </w:tr>
      <w:tr w:rsidR="00B243AA" w:rsidRPr="0071171F" w14:paraId="736C2E71" w14:textId="77777777" w:rsidTr="00B243AA">
        <w:trPr>
          <w:trHeight w:val="640"/>
        </w:trPr>
        <w:tc>
          <w:tcPr>
            <w:tcW w:w="1020" w:type="dxa"/>
          </w:tcPr>
          <w:p w14:paraId="24B3ADB6" w14:textId="65E6BA53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>15h20</w:t>
            </w:r>
          </w:p>
        </w:tc>
        <w:tc>
          <w:tcPr>
            <w:tcW w:w="8460" w:type="dxa"/>
          </w:tcPr>
          <w:p w14:paraId="74DDB801" w14:textId="4E887004" w:rsidR="00DC56CA" w:rsidRPr="00214E3F" w:rsidRDefault="00B1581B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 xml:space="preserve">Romain </w:t>
            </w:r>
            <w:r w:rsidRPr="006A7687">
              <w:rPr>
                <w:rFonts w:cs="Times New Roman"/>
                <w:smallCaps/>
                <w:sz w:val="28"/>
                <w:szCs w:val="28"/>
              </w:rPr>
              <w:t>Garnier</w:t>
            </w:r>
            <w:r w:rsidR="00DC56CA" w:rsidRPr="00214E3F">
              <w:rPr>
                <w:rFonts w:cs="Times New Roman"/>
                <w:sz w:val="28"/>
                <w:szCs w:val="28"/>
              </w:rPr>
              <w:t xml:space="preserve"> (</w:t>
            </w:r>
            <w:r w:rsidR="0069100C" w:rsidRPr="00214E3F">
              <w:rPr>
                <w:rFonts w:cs="Times New Roman"/>
                <w:sz w:val="28"/>
                <w:szCs w:val="28"/>
              </w:rPr>
              <w:t>Université de Limoges</w:t>
            </w:r>
            <w:r w:rsidR="00DC56CA" w:rsidRPr="00214E3F">
              <w:rPr>
                <w:rFonts w:cs="Times New Roman"/>
                <w:sz w:val="28"/>
                <w:szCs w:val="28"/>
              </w:rPr>
              <w:t>)</w:t>
            </w:r>
          </w:p>
          <w:p w14:paraId="7545020A" w14:textId="5E13E4D3" w:rsidR="00DC56CA" w:rsidRPr="00214E3F" w:rsidRDefault="00DC56CA" w:rsidP="00EA4761">
            <w:pPr>
              <w:pStyle w:val="titreJE"/>
              <w:rPr>
                <w:rFonts w:cs="Times New Roman"/>
                <w:szCs w:val="28"/>
              </w:rPr>
            </w:pPr>
            <w:r w:rsidRPr="00214E3F">
              <w:rPr>
                <w:rFonts w:cs="Times New Roman"/>
                <w:szCs w:val="28"/>
              </w:rPr>
              <w:t>« </w:t>
            </w:r>
            <w:r w:rsidR="0069100C" w:rsidRPr="00214E3F">
              <w:rPr>
                <w:rFonts w:cs="Times New Roman"/>
                <w:szCs w:val="28"/>
              </w:rPr>
              <w:t>L’allomorphisme lié à la loi de Stang</w:t>
            </w:r>
            <w:r w:rsidRPr="00214E3F">
              <w:rPr>
                <w:rFonts w:cs="Times New Roman"/>
                <w:szCs w:val="28"/>
              </w:rPr>
              <w:t>. »</w:t>
            </w:r>
          </w:p>
        </w:tc>
      </w:tr>
      <w:tr w:rsidR="00B243AA" w:rsidRPr="0071171F" w14:paraId="1EC77A6B" w14:textId="77777777" w:rsidTr="00B243AA">
        <w:trPr>
          <w:trHeight w:val="239"/>
        </w:trPr>
        <w:tc>
          <w:tcPr>
            <w:tcW w:w="1020" w:type="dxa"/>
            <w:shd w:val="clear" w:color="auto" w:fill="auto"/>
          </w:tcPr>
          <w:p w14:paraId="183EAC26" w14:textId="74514205" w:rsidR="00DC56CA" w:rsidRPr="00214E3F" w:rsidRDefault="00DC56CA" w:rsidP="00EA4761">
            <w:pPr>
              <w:spacing w:after="12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214E3F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15h55 </w:t>
            </w:r>
          </w:p>
        </w:tc>
        <w:tc>
          <w:tcPr>
            <w:tcW w:w="8460" w:type="dxa"/>
            <w:shd w:val="clear" w:color="auto" w:fill="auto"/>
          </w:tcPr>
          <w:p w14:paraId="50D537B8" w14:textId="6AC5326A" w:rsidR="00DC56CA" w:rsidRPr="00214E3F" w:rsidRDefault="00DC56CA" w:rsidP="00EA4761">
            <w:pPr>
              <w:spacing w:after="12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214E3F">
              <w:rPr>
                <w:rFonts w:eastAsia="Times New Roman" w:cs="Times New Roman"/>
                <w:b/>
                <w:i/>
                <w:sz w:val="28"/>
                <w:szCs w:val="28"/>
              </w:rPr>
              <w:t>Pause</w:t>
            </w:r>
          </w:p>
        </w:tc>
      </w:tr>
      <w:tr w:rsidR="00B243AA" w:rsidRPr="0071171F" w14:paraId="1AD64CB6" w14:textId="77777777" w:rsidTr="00B243AA">
        <w:trPr>
          <w:trHeight w:val="152"/>
        </w:trPr>
        <w:tc>
          <w:tcPr>
            <w:tcW w:w="1020" w:type="dxa"/>
          </w:tcPr>
          <w:p w14:paraId="65B015EA" w14:textId="77777777" w:rsidR="00803BDD" w:rsidRPr="00214E3F" w:rsidRDefault="00803BDD" w:rsidP="003C02C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14:paraId="2F4590F1" w14:textId="2AF6E091" w:rsidR="00803BDD" w:rsidRPr="00214E3F" w:rsidRDefault="00803BDD" w:rsidP="00B243AA">
            <w:pPr>
              <w:pStyle w:val="presidentJE"/>
              <w:rPr>
                <w:rFonts w:cs="Times New Roman"/>
                <w:sz w:val="28"/>
                <w:szCs w:val="28"/>
              </w:rPr>
            </w:pPr>
          </w:p>
        </w:tc>
      </w:tr>
      <w:tr w:rsidR="00B243AA" w:rsidRPr="0071171F" w14:paraId="15198E8A" w14:textId="77777777" w:rsidTr="00B243AA">
        <w:trPr>
          <w:trHeight w:val="315"/>
        </w:trPr>
        <w:tc>
          <w:tcPr>
            <w:tcW w:w="1020" w:type="dxa"/>
          </w:tcPr>
          <w:p w14:paraId="2A49AFD2" w14:textId="5B3BC936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>16h25</w:t>
            </w:r>
          </w:p>
        </w:tc>
        <w:tc>
          <w:tcPr>
            <w:tcW w:w="8460" w:type="dxa"/>
          </w:tcPr>
          <w:p w14:paraId="032F4549" w14:textId="688A0851" w:rsidR="00DC56CA" w:rsidRPr="00214E3F" w:rsidRDefault="0069100C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 xml:space="preserve">Georges-Jean </w:t>
            </w:r>
            <w:r w:rsidRPr="006A7687">
              <w:rPr>
                <w:rFonts w:cs="Times New Roman"/>
                <w:smallCaps/>
                <w:sz w:val="28"/>
                <w:szCs w:val="28"/>
              </w:rPr>
              <w:t>Pinault</w:t>
            </w:r>
            <w:r w:rsidR="00B1581B" w:rsidRPr="00214E3F">
              <w:rPr>
                <w:rFonts w:cs="Times New Roman"/>
                <w:sz w:val="28"/>
                <w:szCs w:val="28"/>
              </w:rPr>
              <w:t xml:space="preserve"> </w:t>
            </w:r>
            <w:r w:rsidR="00DC56CA" w:rsidRPr="00214E3F">
              <w:rPr>
                <w:rFonts w:cs="Times New Roman"/>
                <w:sz w:val="28"/>
                <w:szCs w:val="28"/>
              </w:rPr>
              <w:t>(</w:t>
            </w:r>
            <w:r w:rsidR="0071171F" w:rsidRPr="00214E3F">
              <w:rPr>
                <w:rFonts w:cs="Times New Roman"/>
                <w:sz w:val="28"/>
                <w:szCs w:val="28"/>
              </w:rPr>
              <w:t>EPHE</w:t>
            </w:r>
            <w:r w:rsidR="00DC56CA" w:rsidRPr="00214E3F">
              <w:rPr>
                <w:rFonts w:cs="Times New Roman"/>
                <w:sz w:val="28"/>
                <w:szCs w:val="28"/>
              </w:rPr>
              <w:t>)</w:t>
            </w:r>
          </w:p>
          <w:p w14:paraId="35B8FEF3" w14:textId="037DADCF" w:rsidR="00DC56CA" w:rsidRPr="00214E3F" w:rsidRDefault="00DC56CA" w:rsidP="0071171F">
            <w:pPr>
              <w:pStyle w:val="titreJE"/>
              <w:rPr>
                <w:szCs w:val="28"/>
                <w:lang/>
              </w:rPr>
            </w:pPr>
            <w:r w:rsidRPr="00214E3F">
              <w:rPr>
                <w:bCs/>
                <w:szCs w:val="28"/>
              </w:rPr>
              <w:t>« </w:t>
            </w:r>
            <w:r w:rsidR="0069100C" w:rsidRPr="00214E3F">
              <w:rPr>
                <w:szCs w:val="28"/>
              </w:rPr>
              <w:t>Nouveau regard sur l’hétéroclisie nominale</w:t>
            </w:r>
            <w:r w:rsidR="00C37506">
              <w:rPr>
                <w:szCs w:val="28"/>
              </w:rPr>
              <w:t>.</w:t>
            </w:r>
            <w:r w:rsidRPr="00214E3F">
              <w:rPr>
                <w:szCs w:val="28"/>
              </w:rPr>
              <w:t> »</w:t>
            </w:r>
          </w:p>
        </w:tc>
      </w:tr>
      <w:tr w:rsidR="00B243AA" w:rsidRPr="0071171F" w14:paraId="4A91C5F6" w14:textId="77777777" w:rsidTr="00B243AA">
        <w:trPr>
          <w:trHeight w:val="326"/>
        </w:trPr>
        <w:tc>
          <w:tcPr>
            <w:tcW w:w="1020" w:type="dxa"/>
          </w:tcPr>
          <w:p w14:paraId="107E0AF1" w14:textId="32EAC467" w:rsidR="00DC56CA" w:rsidRPr="00214E3F" w:rsidRDefault="00DC56CA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>17h</w:t>
            </w:r>
          </w:p>
        </w:tc>
        <w:tc>
          <w:tcPr>
            <w:tcW w:w="8460" w:type="dxa"/>
          </w:tcPr>
          <w:p w14:paraId="7A83C795" w14:textId="4537DA1D" w:rsidR="00DC56CA" w:rsidRPr="00214E3F" w:rsidRDefault="00B1581B" w:rsidP="00B243AA">
            <w:pPr>
              <w:pStyle w:val="Style1"/>
              <w:rPr>
                <w:rFonts w:cs="Times New Roman"/>
                <w:sz w:val="28"/>
                <w:szCs w:val="28"/>
              </w:rPr>
            </w:pPr>
            <w:r w:rsidRPr="00214E3F">
              <w:rPr>
                <w:rFonts w:cs="Times New Roman"/>
                <w:sz w:val="28"/>
                <w:szCs w:val="28"/>
              </w:rPr>
              <w:t xml:space="preserve">Audrey </w:t>
            </w:r>
            <w:r w:rsidRPr="006A7687">
              <w:rPr>
                <w:rFonts w:cs="Times New Roman"/>
                <w:smallCaps/>
                <w:sz w:val="28"/>
                <w:szCs w:val="28"/>
              </w:rPr>
              <w:t>Mathys</w:t>
            </w:r>
            <w:r w:rsidR="00DC56CA" w:rsidRPr="00214E3F">
              <w:rPr>
                <w:rFonts w:cs="Times New Roman"/>
                <w:sz w:val="28"/>
                <w:szCs w:val="28"/>
              </w:rPr>
              <w:t xml:space="preserve"> (</w:t>
            </w:r>
            <w:r w:rsidRPr="00214E3F">
              <w:rPr>
                <w:rFonts w:cs="Times New Roman"/>
                <w:sz w:val="28"/>
                <w:szCs w:val="28"/>
              </w:rPr>
              <w:t>FNRS - ULB</w:t>
            </w:r>
            <w:r w:rsidR="00DC56CA" w:rsidRPr="00214E3F">
              <w:rPr>
                <w:rFonts w:cs="Times New Roman"/>
                <w:sz w:val="28"/>
                <w:szCs w:val="28"/>
              </w:rPr>
              <w:t>)</w:t>
            </w:r>
          </w:p>
          <w:p w14:paraId="34E4DA26" w14:textId="7A8B79D6" w:rsidR="00DC56CA" w:rsidRPr="00214E3F" w:rsidRDefault="00DC56CA" w:rsidP="00EA4761">
            <w:pPr>
              <w:pStyle w:val="titreJE"/>
              <w:rPr>
                <w:rFonts w:cs="Times New Roman"/>
                <w:szCs w:val="28"/>
              </w:rPr>
            </w:pPr>
            <w:r w:rsidRPr="00214E3F">
              <w:rPr>
                <w:rFonts w:cs="Times New Roman"/>
                <w:szCs w:val="28"/>
              </w:rPr>
              <w:t>« </w:t>
            </w:r>
            <w:r w:rsidR="00214E3F" w:rsidRPr="00214E3F">
              <w:rPr>
                <w:rFonts w:cs="Times New Roman"/>
                <w:szCs w:val="28"/>
              </w:rPr>
              <w:t>Paradigmes des pronoms démonstratifs et anaphoriques en germanique : une régularité illusoire ?</w:t>
            </w:r>
            <w:r w:rsidRPr="00214E3F">
              <w:rPr>
                <w:rFonts w:cs="Times New Roman"/>
                <w:szCs w:val="28"/>
              </w:rPr>
              <w:t> »</w:t>
            </w:r>
          </w:p>
        </w:tc>
      </w:tr>
    </w:tbl>
    <w:p w14:paraId="35C5C0BF" w14:textId="77777777" w:rsidR="00E369DC" w:rsidRDefault="00E369DC" w:rsidP="00CB753B">
      <w:pPr>
        <w:rPr>
          <w:rFonts w:cs="Times New Roman"/>
          <w:b/>
        </w:rPr>
      </w:pPr>
    </w:p>
    <w:p w14:paraId="14FB5BF5" w14:textId="77777777" w:rsidR="00E369DC" w:rsidRDefault="00E369DC" w:rsidP="00CB753B">
      <w:pPr>
        <w:rPr>
          <w:rFonts w:cs="Times New Roman"/>
          <w:b/>
        </w:rPr>
      </w:pPr>
    </w:p>
    <w:p w14:paraId="17FAE4D3" w14:textId="7E80243E" w:rsidR="00CB753B" w:rsidRPr="0071171F" w:rsidRDefault="00CB753B" w:rsidP="00CB753B">
      <w:pPr>
        <w:rPr>
          <w:rFonts w:cs="Times New Roman"/>
          <w:b/>
        </w:rPr>
      </w:pPr>
      <w:r w:rsidRPr="0071171F">
        <w:rPr>
          <w:rFonts w:cs="Times New Roman"/>
          <w:b/>
        </w:rPr>
        <w:t xml:space="preserve">Organisation et contacts : </w:t>
      </w:r>
    </w:p>
    <w:p w14:paraId="48FE72A7" w14:textId="403958CA" w:rsidR="00140469" w:rsidRPr="0071171F" w:rsidRDefault="00140469" w:rsidP="00CB753B">
      <w:pPr>
        <w:rPr>
          <w:rFonts w:cs="Times New Roman"/>
        </w:rPr>
      </w:pPr>
      <w:r w:rsidRPr="0071171F">
        <w:rPr>
          <w:rFonts w:cs="Times New Roman"/>
        </w:rPr>
        <w:t xml:space="preserve">École Normale Supérieure, AOROC, </w:t>
      </w:r>
      <w:r w:rsidR="007F3C91">
        <w:t>Axe 1 « Langues, territoires, identités » (responsables : Anca Dan &amp; Daniel Petit)</w:t>
      </w:r>
      <w:bookmarkStart w:id="0" w:name="_GoBack"/>
      <w:bookmarkEnd w:id="0"/>
    </w:p>
    <w:p w14:paraId="4B6DCF11" w14:textId="3D01E44D" w:rsidR="00CB753B" w:rsidRPr="0071171F" w:rsidRDefault="00CB753B" w:rsidP="00CB753B">
      <w:pPr>
        <w:rPr>
          <w:rFonts w:cs="Times New Roman"/>
        </w:rPr>
      </w:pPr>
      <w:r w:rsidRPr="0071171F">
        <w:rPr>
          <w:rFonts w:cs="Times New Roman"/>
        </w:rPr>
        <w:t>Audrey Mathys,</w:t>
      </w:r>
      <w:r w:rsidR="00513B0E">
        <w:rPr>
          <w:rFonts w:cs="Times New Roman"/>
        </w:rPr>
        <w:t xml:space="preserve"> postdoctorante,</w:t>
      </w:r>
      <w:r w:rsidRPr="0071171F">
        <w:rPr>
          <w:rFonts w:cs="Times New Roman"/>
        </w:rPr>
        <w:t xml:space="preserve"> </w:t>
      </w:r>
      <w:r w:rsidR="00B67C44">
        <w:rPr>
          <w:rFonts w:cs="Times New Roman"/>
        </w:rPr>
        <w:t xml:space="preserve">FNRS, Université Libre de Bruxelles </w:t>
      </w:r>
      <w:r w:rsidRPr="0071171F">
        <w:rPr>
          <w:rFonts w:cs="Times New Roman"/>
        </w:rPr>
        <w:t>(audrey.mathys@</w:t>
      </w:r>
      <w:r w:rsidR="0071171F">
        <w:rPr>
          <w:rFonts w:cs="Times New Roman"/>
        </w:rPr>
        <w:t>ulb</w:t>
      </w:r>
      <w:r w:rsidRPr="0071171F">
        <w:rPr>
          <w:rFonts w:cs="Times New Roman"/>
        </w:rPr>
        <w:t>.</w:t>
      </w:r>
      <w:r w:rsidR="0071171F">
        <w:rPr>
          <w:rFonts w:cs="Times New Roman"/>
        </w:rPr>
        <w:t>be</w:t>
      </w:r>
      <w:r w:rsidRPr="0071171F">
        <w:rPr>
          <w:rFonts w:cs="Times New Roman"/>
        </w:rPr>
        <w:t>)</w:t>
      </w:r>
      <w:r w:rsidR="002033F2" w:rsidRPr="0071171F">
        <w:rPr>
          <w:rFonts w:cs="Times New Roman"/>
        </w:rPr>
        <w:t>.</w:t>
      </w:r>
    </w:p>
    <w:p w14:paraId="57D31EAD" w14:textId="53CE1388" w:rsidR="00B243AA" w:rsidRPr="0071171F" w:rsidRDefault="00CB753B">
      <w:pPr>
        <w:rPr>
          <w:rFonts w:cs="Times New Roman"/>
        </w:rPr>
      </w:pPr>
      <w:r w:rsidRPr="0071171F">
        <w:rPr>
          <w:rFonts w:cs="Times New Roman"/>
        </w:rPr>
        <w:t>Daniel Petit, professeur de linguistique indo-européenne à l'École Normale Supérieure et directeur d'études à l'École Pratique des Hautes Études (daniel.petit@ens.fr)</w:t>
      </w:r>
      <w:r w:rsidR="002033F2" w:rsidRPr="0071171F">
        <w:rPr>
          <w:rFonts w:cs="Times New Roman"/>
        </w:rPr>
        <w:t>.</w:t>
      </w:r>
      <w:r w:rsidR="002639DE" w:rsidRPr="0071171F">
        <w:rPr>
          <w:rFonts w:cs="Times New Roman"/>
        </w:rPr>
        <w:t xml:space="preserve"> </w:t>
      </w:r>
    </w:p>
    <w:sectPr w:rsidR="00B243AA" w:rsidRPr="0071171F" w:rsidSect="00B243AA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ux Libertine">
    <w:altName w:val="Cambria"/>
    <w:panose1 w:val="00000000000000000000"/>
    <w:charset w:val="00"/>
    <w:family w:val="auto"/>
    <w:notTrueType/>
    <w:pitch w:val="variable"/>
    <w:sig w:usb0="E0000AFF" w:usb1="5200E5FB" w:usb2="0200002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55"/>
    <w:rsid w:val="000132A6"/>
    <w:rsid w:val="000373FA"/>
    <w:rsid w:val="00050DD7"/>
    <w:rsid w:val="000F14B0"/>
    <w:rsid w:val="00140469"/>
    <w:rsid w:val="00166802"/>
    <w:rsid w:val="00181555"/>
    <w:rsid w:val="001D7C79"/>
    <w:rsid w:val="001E71C6"/>
    <w:rsid w:val="002033F2"/>
    <w:rsid w:val="00214E3F"/>
    <w:rsid w:val="00252FF6"/>
    <w:rsid w:val="002639DE"/>
    <w:rsid w:val="00347B9C"/>
    <w:rsid w:val="00372F3F"/>
    <w:rsid w:val="003F6785"/>
    <w:rsid w:val="00513B0E"/>
    <w:rsid w:val="005F31EF"/>
    <w:rsid w:val="0069100C"/>
    <w:rsid w:val="006A559A"/>
    <w:rsid w:val="006A7687"/>
    <w:rsid w:val="0071171F"/>
    <w:rsid w:val="00795A97"/>
    <w:rsid w:val="007F3C91"/>
    <w:rsid w:val="007F4FB8"/>
    <w:rsid w:val="00803BDD"/>
    <w:rsid w:val="00810561"/>
    <w:rsid w:val="008532C7"/>
    <w:rsid w:val="00871D03"/>
    <w:rsid w:val="00897B55"/>
    <w:rsid w:val="008C4701"/>
    <w:rsid w:val="00A15BCD"/>
    <w:rsid w:val="00B06CB7"/>
    <w:rsid w:val="00B1581B"/>
    <w:rsid w:val="00B243AA"/>
    <w:rsid w:val="00B46D1B"/>
    <w:rsid w:val="00B67C44"/>
    <w:rsid w:val="00BA392D"/>
    <w:rsid w:val="00BB3F9A"/>
    <w:rsid w:val="00C37506"/>
    <w:rsid w:val="00C77EDA"/>
    <w:rsid w:val="00CB753B"/>
    <w:rsid w:val="00CD10CA"/>
    <w:rsid w:val="00CE376B"/>
    <w:rsid w:val="00D312AA"/>
    <w:rsid w:val="00D5017F"/>
    <w:rsid w:val="00DC56CA"/>
    <w:rsid w:val="00DE4DF6"/>
    <w:rsid w:val="00E369DC"/>
    <w:rsid w:val="00E37AE9"/>
    <w:rsid w:val="00E77F41"/>
    <w:rsid w:val="00EA1A42"/>
    <w:rsid w:val="00EA4761"/>
    <w:rsid w:val="00ED2FD9"/>
    <w:rsid w:val="00F77694"/>
    <w:rsid w:val="00F80CAF"/>
    <w:rsid w:val="00FD1AD2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C7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1F"/>
    <w:pPr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803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803BDD"/>
    <w:rPr>
      <w:rFonts w:ascii="Courier New" w:hAnsi="Courier New" w:cs="Courier New"/>
      <w:sz w:val="20"/>
      <w:szCs w:val="20"/>
    </w:rPr>
  </w:style>
  <w:style w:type="paragraph" w:customStyle="1" w:styleId="titreJE">
    <w:name w:val="titre_JE"/>
    <w:basedOn w:val="Normal"/>
    <w:qFormat/>
    <w:rsid w:val="00214E3F"/>
    <w:pPr>
      <w:spacing w:after="40"/>
      <w:ind w:left="567" w:hanging="567"/>
    </w:pPr>
    <w:rPr>
      <w:rFonts w:eastAsia="Times New Roman" w:cs="Linux Libertine"/>
      <w:sz w:val="28"/>
    </w:rPr>
  </w:style>
  <w:style w:type="paragraph" w:customStyle="1" w:styleId="presidentJE">
    <w:name w:val="president_JE"/>
    <w:basedOn w:val="Normal"/>
    <w:qFormat/>
    <w:rsid w:val="000373FA"/>
    <w:pPr>
      <w:spacing w:after="40"/>
    </w:pPr>
    <w:rPr>
      <w:rFonts w:eastAsia="Times New Roman" w:cs="Linux Libertine"/>
    </w:rPr>
  </w:style>
  <w:style w:type="paragraph" w:customStyle="1" w:styleId="Style1">
    <w:name w:val="Style1"/>
    <w:basedOn w:val="Normal"/>
    <w:qFormat/>
    <w:rsid w:val="00B243AA"/>
    <w:rPr>
      <w:rFonts w:eastAsia="Times New Roman" w:cs="Linux Libertin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Mathys</dc:creator>
  <cp:keywords/>
  <dc:description/>
  <cp:lastModifiedBy>Daniel Petit</cp:lastModifiedBy>
  <cp:revision>3</cp:revision>
  <dcterms:created xsi:type="dcterms:W3CDTF">2022-03-30T08:57:00Z</dcterms:created>
  <dcterms:modified xsi:type="dcterms:W3CDTF">2022-03-30T08:57:00Z</dcterms:modified>
</cp:coreProperties>
</file>