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F2" w:rsidRDefault="000C44F2" w:rsidP="001F4446">
      <w:pPr>
        <w:jc w:val="both"/>
      </w:pPr>
      <w:r>
        <w:t>Bibliographie Frédérique Fleck</w:t>
      </w:r>
    </w:p>
    <w:p w:rsidR="000C44F2" w:rsidRDefault="000C44F2" w:rsidP="001F4446">
      <w:pPr>
        <w:jc w:val="both"/>
      </w:pPr>
    </w:p>
    <w:p w:rsidR="000C44F2" w:rsidRPr="00E77394" w:rsidRDefault="000C44F2" w:rsidP="001F4446">
      <w:pPr>
        <w:jc w:val="both"/>
        <w:rPr>
          <w:bCs/>
          <w:szCs w:val="23"/>
        </w:rPr>
      </w:pPr>
      <w:r>
        <w:t>-</w:t>
      </w:r>
      <w:r w:rsidRPr="00C74A30">
        <w:t xml:space="preserve"> </w:t>
      </w:r>
      <w:r w:rsidRPr="00C74A30">
        <w:rPr>
          <w:i/>
          <w:szCs w:val="23"/>
        </w:rPr>
        <w:t xml:space="preserve">Interrogation, coordination et subordination : le latin </w:t>
      </w:r>
      <w:r w:rsidRPr="00C74A30">
        <w:rPr>
          <w:i/>
          <w:szCs w:val="23"/>
          <w:u w:val="single"/>
        </w:rPr>
        <w:t>quin</w:t>
      </w:r>
      <w:r w:rsidRPr="00C74A30">
        <w:rPr>
          <w:szCs w:val="23"/>
        </w:rPr>
        <w:t xml:space="preserve">, 2008, </w:t>
      </w:r>
      <w:r w:rsidRPr="00C74A30">
        <w:rPr>
          <w:bCs/>
          <w:szCs w:val="23"/>
        </w:rPr>
        <w:t xml:space="preserve">collection </w:t>
      </w:r>
      <w:r w:rsidRPr="00C74A30">
        <w:rPr>
          <w:bCs/>
          <w:i/>
          <w:szCs w:val="23"/>
        </w:rPr>
        <w:t>Lingua Latina</w:t>
      </w:r>
      <w:r w:rsidRPr="00C74A30">
        <w:rPr>
          <w:bCs/>
          <w:iCs/>
          <w:szCs w:val="23"/>
        </w:rPr>
        <w:t xml:space="preserve"> (n° 11), </w:t>
      </w:r>
      <w:r w:rsidRPr="00C74A30">
        <w:rPr>
          <w:szCs w:val="23"/>
        </w:rPr>
        <w:t>Paris, Presses de l’Université Paris-Sorbonne</w:t>
      </w:r>
    </w:p>
    <w:p w:rsidR="000C44F2" w:rsidRPr="00C74A30" w:rsidRDefault="000C44F2" w:rsidP="001F4446">
      <w:pPr>
        <w:jc w:val="both"/>
        <w:rPr>
          <w:szCs w:val="23"/>
        </w:rPr>
      </w:pPr>
      <w:r w:rsidRPr="00C74A30">
        <w:rPr>
          <w:szCs w:val="23"/>
        </w:rPr>
        <w:t>Articles</w:t>
      </w:r>
    </w:p>
    <w:p w:rsidR="000C44F2" w:rsidRPr="00C74A30" w:rsidRDefault="000C44F2" w:rsidP="001F4446">
      <w:pPr>
        <w:jc w:val="both"/>
        <w:rPr>
          <w:szCs w:val="23"/>
        </w:rPr>
      </w:pPr>
      <w:r>
        <w:rPr>
          <w:szCs w:val="23"/>
        </w:rPr>
        <w:t xml:space="preserve">- </w:t>
      </w:r>
      <w:r w:rsidRPr="00C74A30">
        <w:rPr>
          <w:szCs w:val="23"/>
        </w:rPr>
        <w:t>« </w:t>
      </w:r>
      <w:r w:rsidRPr="00C74A30">
        <w:rPr>
          <w:i/>
          <w:iCs/>
          <w:szCs w:val="23"/>
        </w:rPr>
        <w:t>Non possum quin</w:t>
      </w:r>
      <w:r w:rsidRPr="00C74A30">
        <w:rPr>
          <w:szCs w:val="23"/>
        </w:rPr>
        <w:t xml:space="preserve"> : évolution d’une construction des comédies de Plaute à la prose d’art de Fronton et d’Apulée »</w:t>
      </w:r>
      <w:r>
        <w:rPr>
          <w:szCs w:val="23"/>
        </w:rPr>
        <w:t xml:space="preserve">, 2006, </w:t>
      </w:r>
      <w:r w:rsidRPr="00C74A30">
        <w:rPr>
          <w:i/>
          <w:iCs/>
          <w:szCs w:val="23"/>
        </w:rPr>
        <w:t>Latomus</w:t>
      </w:r>
      <w:r w:rsidRPr="00C74A30">
        <w:rPr>
          <w:iCs/>
          <w:szCs w:val="23"/>
        </w:rPr>
        <w:t xml:space="preserve"> 65/1</w:t>
      </w:r>
      <w:r>
        <w:rPr>
          <w:iCs/>
          <w:szCs w:val="23"/>
        </w:rPr>
        <w:t>,</w:t>
      </w:r>
      <w:r w:rsidRPr="00C74A30">
        <w:rPr>
          <w:iCs/>
          <w:szCs w:val="23"/>
        </w:rPr>
        <w:t xml:space="preserve"> p.34-48</w:t>
      </w:r>
    </w:p>
    <w:p w:rsidR="000C44F2" w:rsidRDefault="000C44F2" w:rsidP="001F4446">
      <w:pPr>
        <w:ind w:right="-288"/>
        <w:jc w:val="both"/>
        <w:rPr>
          <w:szCs w:val="23"/>
        </w:rPr>
      </w:pPr>
      <w:r>
        <w:rPr>
          <w:szCs w:val="23"/>
        </w:rPr>
        <w:t xml:space="preserve">- </w:t>
      </w:r>
      <w:r w:rsidRPr="00C74A30">
        <w:rPr>
          <w:szCs w:val="23"/>
        </w:rPr>
        <w:t xml:space="preserve">« Les emplois du connecteur </w:t>
      </w:r>
      <w:r w:rsidRPr="00C74A30">
        <w:rPr>
          <w:i/>
          <w:szCs w:val="23"/>
        </w:rPr>
        <w:t>quin</w:t>
      </w:r>
      <w:r w:rsidRPr="00C74A30">
        <w:rPr>
          <w:szCs w:val="23"/>
        </w:rPr>
        <w:t xml:space="preserve"> et leur évolution. Comparaison avec les emplois des connecteurs adversatifs </w:t>
      </w:r>
      <w:r w:rsidRPr="00C74A30">
        <w:rPr>
          <w:i/>
          <w:szCs w:val="23"/>
        </w:rPr>
        <w:t>at</w:t>
      </w:r>
      <w:r w:rsidRPr="00C74A30">
        <w:rPr>
          <w:szCs w:val="23"/>
        </w:rPr>
        <w:t xml:space="preserve">, </w:t>
      </w:r>
      <w:r w:rsidRPr="00C74A30">
        <w:rPr>
          <w:i/>
          <w:szCs w:val="23"/>
        </w:rPr>
        <w:t>sed</w:t>
      </w:r>
      <w:r w:rsidRPr="00C74A30">
        <w:rPr>
          <w:szCs w:val="23"/>
        </w:rPr>
        <w:t xml:space="preserve"> et </w:t>
      </w:r>
      <w:r w:rsidRPr="00C74A30">
        <w:rPr>
          <w:i/>
          <w:szCs w:val="23"/>
        </w:rPr>
        <w:t>uerum</w:t>
      </w:r>
      <w:r>
        <w:rPr>
          <w:szCs w:val="23"/>
        </w:rPr>
        <w:t xml:space="preserve"> », 2007, </w:t>
      </w:r>
      <w:r w:rsidRPr="00C74A30">
        <w:rPr>
          <w:i/>
          <w:szCs w:val="23"/>
        </w:rPr>
        <w:t xml:space="preserve">Ordre et cohérence en latin. Communications présentées au </w:t>
      </w:r>
      <w:r w:rsidRPr="00C74A30">
        <w:rPr>
          <w:i/>
          <w:iCs/>
          <w:szCs w:val="23"/>
        </w:rPr>
        <w:t>13</w:t>
      </w:r>
      <w:r w:rsidRPr="00C74A30">
        <w:rPr>
          <w:i/>
          <w:iCs/>
          <w:szCs w:val="23"/>
          <w:vertAlign w:val="superscript"/>
        </w:rPr>
        <w:t>e</w:t>
      </w:r>
      <w:r w:rsidRPr="00C74A30">
        <w:rPr>
          <w:i/>
          <w:iCs/>
          <w:szCs w:val="23"/>
        </w:rPr>
        <w:t xml:space="preserve"> Colloque international de Linguistique latine (Bruxelles-Liège, 4-9 avril 2005)</w:t>
      </w:r>
      <w:r>
        <w:rPr>
          <w:szCs w:val="23"/>
        </w:rPr>
        <w:t xml:space="preserve">, </w:t>
      </w:r>
      <w:r w:rsidRPr="00C74A30">
        <w:rPr>
          <w:szCs w:val="23"/>
        </w:rPr>
        <w:t>G. Purnelle et J. Denooz (éd.), Bibliothèque de la Faculté de Philosophie et Lettres de l’Université de Liège - fascicule 293, Genève, Droz, p.43-54</w:t>
      </w:r>
    </w:p>
    <w:p w:rsidR="000C44F2" w:rsidRPr="00C74A30" w:rsidRDefault="000C44F2" w:rsidP="001F4446">
      <w:pPr>
        <w:ind w:right="-288"/>
        <w:jc w:val="both"/>
        <w:rPr>
          <w:szCs w:val="23"/>
        </w:rPr>
      </w:pPr>
      <w:r>
        <w:rPr>
          <w:szCs w:val="23"/>
        </w:rPr>
        <w:t xml:space="preserve">- </w:t>
      </w:r>
      <w:r w:rsidRPr="00C74A30">
        <w:rPr>
          <w:szCs w:val="23"/>
        </w:rPr>
        <w:t>« </w:t>
      </w:r>
      <w:r w:rsidRPr="00C74A30">
        <w:rPr>
          <w:i/>
          <w:iCs/>
          <w:szCs w:val="23"/>
        </w:rPr>
        <w:t>Nemo est quin… </w:t>
      </w:r>
      <w:r w:rsidRPr="00C74A30">
        <w:rPr>
          <w:szCs w:val="23"/>
        </w:rPr>
        <w:t>: origine d’une construction atypique »</w:t>
      </w:r>
      <w:r>
        <w:rPr>
          <w:szCs w:val="23"/>
        </w:rPr>
        <w:t xml:space="preserve">, 2008, </w:t>
      </w:r>
      <w:r w:rsidRPr="00C74A30">
        <w:rPr>
          <w:i/>
          <w:iCs/>
          <w:szCs w:val="23"/>
        </w:rPr>
        <w:t>Lalies</w:t>
      </w:r>
      <w:r>
        <w:rPr>
          <w:szCs w:val="23"/>
        </w:rPr>
        <w:t xml:space="preserve"> 28</w:t>
      </w:r>
      <w:r w:rsidRPr="00C74A30">
        <w:rPr>
          <w:szCs w:val="23"/>
        </w:rPr>
        <w:t>, p. 255-270</w:t>
      </w:r>
    </w:p>
    <w:p w:rsidR="000C44F2" w:rsidRPr="00984DC3" w:rsidRDefault="000C44F2" w:rsidP="001F4446">
      <w:pPr>
        <w:jc w:val="both"/>
        <w:rPr>
          <w:bCs/>
        </w:rPr>
      </w:pPr>
      <w:r w:rsidRPr="00F620DE">
        <w:rPr>
          <w:szCs w:val="23"/>
        </w:rPr>
        <w:t xml:space="preserve">- </w:t>
      </w:r>
      <w:r w:rsidRPr="00F620DE">
        <w:rPr>
          <w:bCs/>
        </w:rPr>
        <w:t>« Interrogation sur la manière, interrogation sur la cause et négation : existe-t-il des interrogations négatives portant sur la manière ? »</w:t>
      </w:r>
      <w:r>
        <w:rPr>
          <w:bCs/>
        </w:rPr>
        <w:t xml:space="preserve">, 2008, </w:t>
      </w:r>
      <w:r w:rsidRPr="00F620DE">
        <w:rPr>
          <w:i/>
          <w:szCs w:val="23"/>
        </w:rPr>
        <w:t>De lingua Latina</w:t>
      </w:r>
      <w:r>
        <w:rPr>
          <w:szCs w:val="23"/>
        </w:rPr>
        <w:t xml:space="preserve"> 1 </w:t>
      </w:r>
      <w:r w:rsidRPr="00F620DE">
        <w:rPr>
          <w:szCs w:val="23"/>
        </w:rPr>
        <w:t>(revue de linguistique latine du Centre Alfred Ernout, publiée en ligne : http://www.paris-sorbonn</w:t>
      </w:r>
      <w:r>
        <w:rPr>
          <w:szCs w:val="23"/>
        </w:rPr>
        <w:t>e.fr/fr/spip.php?rubrique2315)</w:t>
      </w:r>
    </w:p>
    <w:p w:rsidR="000C44F2" w:rsidRPr="00C74A30" w:rsidRDefault="000C44F2" w:rsidP="001F4446">
      <w:pPr>
        <w:jc w:val="both"/>
        <w:rPr>
          <w:szCs w:val="23"/>
        </w:rPr>
      </w:pPr>
      <w:r>
        <w:rPr>
          <w:szCs w:val="23"/>
        </w:rPr>
        <w:t xml:space="preserve">- </w:t>
      </w:r>
      <w:r w:rsidRPr="00C74A30">
        <w:rPr>
          <w:szCs w:val="23"/>
        </w:rPr>
        <w:t>« Négation incorporée et type de négation. Le cas des interrogatifs et subordonnants négatifs du latin »</w:t>
      </w:r>
      <w:r>
        <w:rPr>
          <w:szCs w:val="23"/>
        </w:rPr>
        <w:t xml:space="preserve">, </w:t>
      </w:r>
      <w:r w:rsidRPr="00C74A30">
        <w:rPr>
          <w:i/>
          <w:szCs w:val="23"/>
        </w:rPr>
        <w:t>Bulletin de la Société de Linguistique de Paris</w:t>
      </w:r>
      <w:r w:rsidRPr="00C74A30">
        <w:rPr>
          <w:szCs w:val="23"/>
        </w:rPr>
        <w:t xml:space="preserve"> 103-1, 2008, p. 153-172</w:t>
      </w:r>
    </w:p>
    <w:p w:rsidR="000C44F2" w:rsidRDefault="000C44F2" w:rsidP="001F4446">
      <w:pPr>
        <w:jc w:val="both"/>
        <w:rPr>
          <w:rFonts w:ascii="Garamond" w:hAnsi="Garamond"/>
          <w:szCs w:val="23"/>
        </w:rPr>
      </w:pPr>
      <w:r>
        <w:rPr>
          <w:szCs w:val="23"/>
        </w:rPr>
        <w:t xml:space="preserve">- </w:t>
      </w:r>
      <w:r w:rsidRPr="00C74A30">
        <w:rPr>
          <w:szCs w:val="23"/>
        </w:rPr>
        <w:t>« </w:t>
      </w:r>
      <w:r w:rsidRPr="00C74A30">
        <w:rPr>
          <w:bCs/>
          <w:szCs w:val="23"/>
        </w:rPr>
        <w:t>L’art de la démonstration dans les œuvres philosophiques de Sénèque : le rôle argumentatif des interro-négatives de cause »</w:t>
      </w:r>
      <w:r>
        <w:rPr>
          <w:bCs/>
          <w:szCs w:val="23"/>
        </w:rPr>
        <w:t xml:space="preserve">, </w:t>
      </w:r>
      <w:r w:rsidRPr="00C74A30">
        <w:rPr>
          <w:i/>
          <w:iCs/>
          <w:szCs w:val="23"/>
        </w:rPr>
        <w:t>Revue des Études latines</w:t>
      </w:r>
      <w:r>
        <w:rPr>
          <w:szCs w:val="23"/>
        </w:rPr>
        <w:t xml:space="preserve"> 86,</w:t>
      </w:r>
      <w:r w:rsidRPr="00FA12D9">
        <w:rPr>
          <w:rFonts w:ascii="Garamond" w:hAnsi="Garamond"/>
          <w:szCs w:val="23"/>
        </w:rPr>
        <w:t xml:space="preserve"> 2008, p. 113-126</w:t>
      </w:r>
    </w:p>
    <w:p w:rsidR="000C44F2" w:rsidRDefault="000C44F2" w:rsidP="001F4446">
      <w:pPr>
        <w:jc w:val="both"/>
        <w:rPr>
          <w:rFonts w:ascii="Garamond" w:hAnsi="Garamond"/>
        </w:rPr>
      </w:pPr>
      <w:r>
        <w:rPr>
          <w:rFonts w:ascii="Garamond" w:hAnsi="Garamond"/>
          <w:szCs w:val="23"/>
        </w:rPr>
        <w:t xml:space="preserve">- </w:t>
      </w:r>
      <w:r w:rsidRPr="00FA12D9">
        <w:rPr>
          <w:rFonts w:ascii="Garamond" w:hAnsi="Garamond"/>
        </w:rPr>
        <w:t>« </w:t>
      </w:r>
      <w:r w:rsidRPr="00FA12D9">
        <w:rPr>
          <w:rFonts w:ascii="Garamond" w:hAnsi="Garamond"/>
          <w:b/>
        </w:rPr>
        <w:t>L’épigramme I, 109 de Martial : un poème encomiastique ou satirique ? »</w:t>
      </w:r>
      <w:r>
        <w:rPr>
          <w:rFonts w:ascii="Garamond" w:hAnsi="Garamond"/>
        </w:rPr>
        <w:t xml:space="preserve">, </w:t>
      </w:r>
      <w:r w:rsidRPr="00FA12D9">
        <w:rPr>
          <w:rFonts w:ascii="Garamond" w:hAnsi="Garamond"/>
          <w:b/>
          <w:i/>
        </w:rPr>
        <w:t>Revue de philologie</w:t>
      </w:r>
      <w:r w:rsidRPr="00FA12D9">
        <w:rPr>
          <w:rFonts w:ascii="Garamond" w:hAnsi="Garamond"/>
          <w:b/>
        </w:rPr>
        <w:t xml:space="preserve"> </w:t>
      </w:r>
      <w:r w:rsidRPr="00FA12D9">
        <w:rPr>
          <w:rFonts w:ascii="Garamond" w:hAnsi="Garamond"/>
        </w:rPr>
        <w:t>82/1, 2008 [2010], p. 49-75</w:t>
      </w:r>
    </w:p>
    <w:p w:rsidR="000C44F2" w:rsidRDefault="000C44F2" w:rsidP="001F444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FA12D9">
        <w:rPr>
          <w:rFonts w:ascii="Garamond" w:hAnsi="Garamond"/>
          <w:b/>
        </w:rPr>
        <w:t>« Anachroni(sm)e. Mise au point sur les notions d’anachronisme et d’anachronie »</w:t>
      </w:r>
      <w:r>
        <w:rPr>
          <w:rFonts w:ascii="Garamond" w:hAnsi="Garamond"/>
          <w:b/>
        </w:rPr>
        <w:t xml:space="preserve">, </w:t>
      </w:r>
      <w:r w:rsidRPr="00FA12D9">
        <w:rPr>
          <w:rFonts w:ascii="Garamond" w:hAnsi="Garamond"/>
          <w:b/>
        </w:rPr>
        <w:t>Atelier de théorie littéraire de Fabula</w:t>
      </w:r>
      <w:r w:rsidRPr="00FA12D9">
        <w:rPr>
          <w:rFonts w:ascii="Garamond" w:hAnsi="Garamond"/>
        </w:rPr>
        <w:t>, 2011</w:t>
      </w:r>
      <w:r>
        <w:rPr>
          <w:rFonts w:ascii="Garamond" w:hAnsi="Garamond"/>
        </w:rPr>
        <w:t> :</w:t>
      </w:r>
      <w:r>
        <w:rPr>
          <w:rFonts w:ascii="Garamond" w:hAnsi="Garamond"/>
          <w:b/>
        </w:rPr>
        <w:t xml:space="preserve"> </w:t>
      </w:r>
      <w:hyperlink r:id="rId4" w:history="1">
        <w:r w:rsidRPr="00A66DAE">
          <w:rPr>
            <w:rStyle w:val="Hyperlink"/>
            <w:rFonts w:ascii="Garamond" w:hAnsi="Garamond"/>
          </w:rPr>
          <w:t>http://www.fabula.org/atelier.php?Anachronisme_et_anachronie</w:t>
        </w:r>
      </w:hyperlink>
    </w:p>
    <w:p w:rsidR="000C44F2" w:rsidRDefault="000C44F2" w:rsidP="001F444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FA12D9">
        <w:rPr>
          <w:rFonts w:ascii="Garamond" w:hAnsi="Garamond"/>
          <w:b/>
        </w:rPr>
        <w:t>« Les historiens et l’anachronisme »</w:t>
      </w:r>
      <w:r>
        <w:rPr>
          <w:rFonts w:ascii="Garamond" w:hAnsi="Garamond"/>
          <w:b/>
        </w:rPr>
        <w:t xml:space="preserve">, </w:t>
      </w:r>
      <w:r w:rsidRPr="00FA12D9">
        <w:rPr>
          <w:rFonts w:ascii="Garamond" w:hAnsi="Garamond"/>
          <w:b/>
        </w:rPr>
        <w:t>Atelier de théorie littéraire de Fabula</w:t>
      </w:r>
      <w:r w:rsidRPr="00FA12D9">
        <w:rPr>
          <w:rFonts w:ascii="Garamond" w:hAnsi="Garamond"/>
        </w:rPr>
        <w:t>, 2011</w:t>
      </w:r>
      <w:r>
        <w:rPr>
          <w:rFonts w:ascii="Garamond" w:hAnsi="Garamond"/>
        </w:rPr>
        <w:t xml:space="preserve"> : </w:t>
      </w:r>
      <w:hyperlink r:id="rId5" w:history="1">
        <w:r w:rsidRPr="00A66DAE">
          <w:rPr>
            <w:rStyle w:val="Hyperlink"/>
            <w:rFonts w:ascii="Garamond" w:hAnsi="Garamond"/>
          </w:rPr>
          <w:t>http://www.fabula.org/atelier.php?Anachronisme_et_historiographie</w:t>
        </w:r>
      </w:hyperlink>
    </w:p>
    <w:p w:rsidR="000C44F2" w:rsidRDefault="000C44F2" w:rsidP="001F444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FA12D9">
        <w:rPr>
          <w:rFonts w:ascii="Garamond" w:hAnsi="Garamond"/>
          <w:b/>
          <w:bCs/>
        </w:rPr>
        <w:t xml:space="preserve">« Rupture et continuité dans l’emploi de </w:t>
      </w:r>
      <w:r w:rsidRPr="00FA12D9">
        <w:rPr>
          <w:rFonts w:ascii="Garamond" w:hAnsi="Garamond"/>
          <w:b/>
          <w:bCs/>
          <w:i/>
          <w:iCs/>
        </w:rPr>
        <w:t>immo</w:t>
      </w:r>
      <w:r w:rsidRPr="00FA12D9">
        <w:rPr>
          <w:rFonts w:ascii="Garamond" w:hAnsi="Garamond"/>
          <w:b/>
          <w:bCs/>
        </w:rPr>
        <w:t xml:space="preserve"> au tournant des </w:t>
      </w:r>
      <w:r w:rsidRPr="00FA12D9">
        <w:rPr>
          <w:rFonts w:ascii="Garamond" w:hAnsi="Garamond"/>
          <w:b/>
          <w:bCs/>
          <w:smallCaps/>
        </w:rPr>
        <w:t>i</w:t>
      </w:r>
      <w:r w:rsidRPr="00FA12D9">
        <w:rPr>
          <w:rFonts w:ascii="Garamond" w:hAnsi="Garamond"/>
          <w:b/>
          <w:bCs/>
          <w:vertAlign w:val="superscript"/>
        </w:rPr>
        <w:t>er</w:t>
      </w:r>
      <w:r w:rsidRPr="00FA12D9">
        <w:rPr>
          <w:rFonts w:ascii="Garamond" w:hAnsi="Garamond"/>
          <w:b/>
          <w:bCs/>
        </w:rPr>
        <w:t xml:space="preserve"> et </w:t>
      </w:r>
      <w:r w:rsidRPr="00FA12D9">
        <w:rPr>
          <w:rFonts w:ascii="Garamond" w:hAnsi="Garamond"/>
          <w:b/>
          <w:bCs/>
          <w:smallCaps/>
        </w:rPr>
        <w:t>ii</w:t>
      </w:r>
      <w:r w:rsidRPr="00FA12D9">
        <w:rPr>
          <w:rFonts w:ascii="Garamond" w:hAnsi="Garamond"/>
          <w:b/>
          <w:bCs/>
          <w:vertAlign w:val="superscript"/>
        </w:rPr>
        <w:t>e</w:t>
      </w:r>
      <w:r w:rsidRPr="00FA12D9">
        <w:rPr>
          <w:rFonts w:ascii="Garamond" w:hAnsi="Garamond"/>
          <w:b/>
          <w:bCs/>
        </w:rPr>
        <w:t xml:space="preserve"> siècles de notre ère »</w:t>
      </w:r>
      <w:r>
        <w:rPr>
          <w:rFonts w:ascii="Garamond" w:hAnsi="Garamond"/>
          <w:b/>
          <w:bCs/>
        </w:rPr>
        <w:t xml:space="preserve">, </w:t>
      </w:r>
      <w:r w:rsidRPr="00FA12D9">
        <w:rPr>
          <w:rFonts w:ascii="Garamond" w:hAnsi="Garamond"/>
          <w:b/>
          <w:i/>
        </w:rPr>
        <w:t>(Dis)continuité en linguistique latine et linguistique grecque. Hommage à Chantal Kircher-Durand</w:t>
      </w:r>
      <w:r w:rsidRPr="00FA12D9">
        <w:rPr>
          <w:rFonts w:ascii="Garamond" w:hAnsi="Garamond"/>
        </w:rPr>
        <w:t>, Michèle Biraud (éd.), L’Harmattan, coll. « Kubaba », Paris, 2012, p. 235-245</w:t>
      </w:r>
    </w:p>
    <w:p w:rsidR="000C44F2" w:rsidRPr="001F4446" w:rsidRDefault="000C44F2" w:rsidP="001F4446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- </w:t>
      </w:r>
      <w:r w:rsidRPr="00FA12D9">
        <w:rPr>
          <w:rFonts w:ascii="Garamond" w:hAnsi="Garamond"/>
          <w:b/>
        </w:rPr>
        <w:t>« Identifier l’ironie. Catégorisation et perception de l’ironie dans les textes anciens »</w:t>
      </w:r>
      <w:r>
        <w:rPr>
          <w:rFonts w:ascii="Garamond" w:hAnsi="Garamond"/>
          <w:b/>
        </w:rPr>
        <w:t xml:space="preserve">, </w:t>
      </w:r>
      <w:r w:rsidRPr="00FA12D9">
        <w:rPr>
          <w:rFonts w:ascii="Garamond" w:hAnsi="Garamond"/>
          <w:b/>
        </w:rPr>
        <w:t>Atelier de théorie littéraire de Fabula</w:t>
      </w:r>
      <w:r>
        <w:rPr>
          <w:rFonts w:ascii="Garamond" w:hAnsi="Garamond"/>
        </w:rPr>
        <w:t xml:space="preserve">, 2012 : </w:t>
      </w:r>
      <w:r w:rsidRPr="00FA12D9">
        <w:rPr>
          <w:rFonts w:ascii="Garamond" w:hAnsi="Garamond"/>
        </w:rPr>
        <w:t>http://www.fabula.org/atelier.php?Categorisation_et_perception_de_l_ironie</w:t>
      </w:r>
    </w:p>
    <w:p w:rsidR="000C44F2" w:rsidRPr="00FA12D9" w:rsidRDefault="000C44F2" w:rsidP="001F4446">
      <w:pPr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-</w:t>
      </w:r>
      <w:r w:rsidRPr="00FA12D9">
        <w:rPr>
          <w:rFonts w:ascii="Garamond" w:hAnsi="Garamond"/>
          <w:szCs w:val="23"/>
        </w:rPr>
        <w:t xml:space="preserve"> Article </w:t>
      </w:r>
      <w:r w:rsidRPr="00FA12D9">
        <w:rPr>
          <w:rFonts w:ascii="Garamond" w:hAnsi="Garamond"/>
          <w:b/>
          <w:szCs w:val="23"/>
        </w:rPr>
        <w:t>« </w:t>
      </w:r>
      <w:r w:rsidRPr="00FA12D9">
        <w:rPr>
          <w:rFonts w:ascii="Garamond" w:hAnsi="Garamond"/>
          <w:b/>
          <w:i/>
          <w:szCs w:val="23"/>
        </w:rPr>
        <w:t>Quin</w:t>
      </w:r>
      <w:r w:rsidRPr="00FA12D9">
        <w:rPr>
          <w:rFonts w:ascii="Garamond" w:hAnsi="Garamond"/>
          <w:b/>
          <w:szCs w:val="23"/>
        </w:rPr>
        <w:t> »</w:t>
      </w:r>
      <w:r>
        <w:rPr>
          <w:rFonts w:ascii="Garamond" w:hAnsi="Garamond"/>
          <w:b/>
          <w:szCs w:val="23"/>
        </w:rPr>
        <w:t xml:space="preserve"> </w:t>
      </w:r>
      <w:r w:rsidRPr="00FA12D9">
        <w:rPr>
          <w:rFonts w:ascii="Garamond" w:hAnsi="Garamond"/>
          <w:szCs w:val="23"/>
        </w:rPr>
        <w:t xml:space="preserve">du </w:t>
      </w:r>
      <w:r w:rsidRPr="00FA12D9">
        <w:rPr>
          <w:rFonts w:ascii="Garamond" w:hAnsi="Garamond"/>
          <w:b/>
          <w:i/>
          <w:szCs w:val="23"/>
        </w:rPr>
        <w:t>DHELL</w:t>
      </w:r>
      <w:r w:rsidRPr="00FA12D9">
        <w:rPr>
          <w:rFonts w:ascii="Garamond" w:hAnsi="Garamond"/>
          <w:szCs w:val="23"/>
        </w:rPr>
        <w:t xml:space="preserve"> (</w:t>
      </w:r>
      <w:r w:rsidRPr="00FA12D9">
        <w:rPr>
          <w:rFonts w:ascii="Garamond" w:hAnsi="Garamond"/>
          <w:i/>
          <w:szCs w:val="23"/>
        </w:rPr>
        <w:t>Dictionnaire historique et Encyclopédie linguistique du latin</w:t>
      </w:r>
      <w:r>
        <w:rPr>
          <w:rFonts w:ascii="Garamond" w:hAnsi="Garamond"/>
          <w:szCs w:val="23"/>
        </w:rPr>
        <w:t xml:space="preserve">), 2013, partie « Lexique latin » : </w:t>
      </w:r>
      <w:r w:rsidRPr="001F4446">
        <w:rPr>
          <w:rFonts w:ascii="Garamond" w:hAnsi="Garamond"/>
          <w:szCs w:val="23"/>
        </w:rPr>
        <w:t>http://www.linglat.paris-sorbonne.fr/dictionnaire:quinplan</w:t>
      </w:r>
    </w:p>
    <w:p w:rsidR="000C44F2" w:rsidRPr="001F4446" w:rsidRDefault="000C44F2" w:rsidP="001F4446">
      <w:pPr>
        <w:jc w:val="both"/>
        <w:rPr>
          <w:rFonts w:ascii="Garamond" w:hAnsi="Garamond"/>
          <w:b/>
          <w:szCs w:val="23"/>
        </w:rPr>
      </w:pPr>
      <w:r>
        <w:rPr>
          <w:rFonts w:ascii="Garamond" w:hAnsi="Garamond"/>
          <w:szCs w:val="23"/>
        </w:rPr>
        <w:t xml:space="preserve">- </w:t>
      </w:r>
      <w:r w:rsidRPr="00FA12D9">
        <w:rPr>
          <w:rFonts w:ascii="Garamond" w:hAnsi="Garamond"/>
          <w:szCs w:val="23"/>
        </w:rPr>
        <w:t xml:space="preserve"> Article</w:t>
      </w:r>
      <w:r>
        <w:rPr>
          <w:rFonts w:ascii="Garamond" w:hAnsi="Garamond"/>
          <w:szCs w:val="23"/>
        </w:rPr>
        <w:t xml:space="preserve"> </w:t>
      </w:r>
      <w:r w:rsidRPr="00FA12D9">
        <w:rPr>
          <w:rFonts w:ascii="Garamond" w:hAnsi="Garamond"/>
          <w:b/>
          <w:szCs w:val="23"/>
        </w:rPr>
        <w:t>« Renchérissement</w:t>
      </w:r>
      <w:r>
        <w:rPr>
          <w:rFonts w:ascii="Garamond" w:hAnsi="Garamond"/>
          <w:b/>
          <w:szCs w:val="23"/>
        </w:rPr>
        <w:t xml:space="preserve"> argumentatif</w:t>
      </w:r>
      <w:r w:rsidRPr="00FA12D9">
        <w:rPr>
          <w:rFonts w:ascii="Garamond" w:hAnsi="Garamond"/>
          <w:b/>
          <w:szCs w:val="23"/>
        </w:rPr>
        <w:t> »</w:t>
      </w:r>
      <w:r w:rsidRPr="00FA12D9">
        <w:rPr>
          <w:rFonts w:ascii="Garamond" w:hAnsi="Garamond"/>
          <w:szCs w:val="23"/>
        </w:rPr>
        <w:t xml:space="preserve"> du </w:t>
      </w:r>
      <w:r w:rsidRPr="00FA12D9">
        <w:rPr>
          <w:rFonts w:ascii="Garamond" w:hAnsi="Garamond"/>
          <w:b/>
          <w:i/>
          <w:szCs w:val="23"/>
        </w:rPr>
        <w:t>DHELL</w:t>
      </w:r>
      <w:r w:rsidRPr="00FA12D9">
        <w:rPr>
          <w:rFonts w:ascii="Garamond" w:hAnsi="Garamond"/>
          <w:szCs w:val="23"/>
        </w:rPr>
        <w:t xml:space="preserve"> (</w:t>
      </w:r>
      <w:r w:rsidRPr="00FA12D9">
        <w:rPr>
          <w:rFonts w:ascii="Garamond" w:hAnsi="Garamond"/>
          <w:i/>
          <w:szCs w:val="23"/>
        </w:rPr>
        <w:t>Dictionnaire historique et Encyclopédie linguistique du latin</w:t>
      </w:r>
      <w:r w:rsidRPr="00FA12D9">
        <w:rPr>
          <w:rFonts w:ascii="Garamond" w:hAnsi="Garamond"/>
          <w:szCs w:val="23"/>
        </w:rPr>
        <w:t>)</w:t>
      </w:r>
      <w:r>
        <w:rPr>
          <w:rFonts w:ascii="Garamond" w:hAnsi="Garamond"/>
          <w:szCs w:val="23"/>
        </w:rPr>
        <w:t>, partie « Encyclopédie linguistique »</w:t>
      </w:r>
      <w:r w:rsidRPr="00FA12D9">
        <w:rPr>
          <w:rFonts w:ascii="Garamond" w:hAnsi="Garamond"/>
          <w:szCs w:val="23"/>
        </w:rPr>
        <w:t>, 2013 :</w:t>
      </w:r>
      <w:r>
        <w:rPr>
          <w:rFonts w:ascii="Garamond" w:hAnsi="Garamond"/>
          <w:szCs w:val="23"/>
        </w:rPr>
        <w:t xml:space="preserve"> </w:t>
      </w:r>
      <w:r w:rsidRPr="001F4446">
        <w:rPr>
          <w:rFonts w:ascii="Garamond" w:hAnsi="Garamond"/>
          <w:szCs w:val="23"/>
        </w:rPr>
        <w:t>http://www.linglat.paris-sorbonne.fr/encyclopedie_linguistique:notions_linguistiques:syntaxe:rencherissement</w:t>
      </w:r>
    </w:p>
    <w:p w:rsidR="000C44F2" w:rsidRPr="00FA12D9" w:rsidRDefault="000C44F2" w:rsidP="001F4446">
      <w:pPr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 xml:space="preserve">- </w:t>
      </w:r>
      <w:r w:rsidRPr="00FA12D9">
        <w:rPr>
          <w:rFonts w:ascii="Garamond" w:hAnsi="Garamond"/>
          <w:szCs w:val="23"/>
        </w:rPr>
        <w:t xml:space="preserve">Article </w:t>
      </w:r>
      <w:r w:rsidRPr="00FA12D9">
        <w:rPr>
          <w:rFonts w:ascii="Garamond" w:hAnsi="Garamond"/>
          <w:b/>
          <w:szCs w:val="23"/>
        </w:rPr>
        <w:t>« Dérivation illocutoire »</w:t>
      </w:r>
      <w:r>
        <w:rPr>
          <w:rFonts w:ascii="Garamond" w:hAnsi="Garamond"/>
          <w:b/>
          <w:szCs w:val="23"/>
        </w:rPr>
        <w:t xml:space="preserve"> </w:t>
      </w:r>
      <w:r w:rsidRPr="00FA12D9">
        <w:rPr>
          <w:rFonts w:ascii="Garamond" w:hAnsi="Garamond"/>
          <w:szCs w:val="23"/>
        </w:rPr>
        <w:t xml:space="preserve">du </w:t>
      </w:r>
      <w:r w:rsidRPr="00FA12D9">
        <w:rPr>
          <w:rFonts w:ascii="Garamond" w:hAnsi="Garamond"/>
          <w:b/>
          <w:i/>
          <w:szCs w:val="23"/>
        </w:rPr>
        <w:t>DHELL</w:t>
      </w:r>
      <w:r w:rsidRPr="00FA12D9">
        <w:rPr>
          <w:rFonts w:ascii="Garamond" w:hAnsi="Garamond"/>
          <w:szCs w:val="23"/>
        </w:rPr>
        <w:t xml:space="preserve"> (</w:t>
      </w:r>
      <w:r w:rsidRPr="00FA12D9">
        <w:rPr>
          <w:rFonts w:ascii="Garamond" w:hAnsi="Garamond"/>
          <w:i/>
          <w:szCs w:val="23"/>
        </w:rPr>
        <w:t>Dictionnaire historique et Encyclopédie linguistique du latin</w:t>
      </w:r>
      <w:r w:rsidRPr="00FA12D9">
        <w:rPr>
          <w:rFonts w:ascii="Garamond" w:hAnsi="Garamond"/>
          <w:szCs w:val="23"/>
        </w:rPr>
        <w:t xml:space="preserve">), </w:t>
      </w:r>
      <w:r>
        <w:rPr>
          <w:rFonts w:ascii="Garamond" w:hAnsi="Garamond"/>
          <w:szCs w:val="23"/>
        </w:rPr>
        <w:t>partie « Encyclopédie linguistique »</w:t>
      </w:r>
      <w:r w:rsidRPr="00FA12D9">
        <w:rPr>
          <w:rFonts w:ascii="Garamond" w:hAnsi="Garamond"/>
          <w:szCs w:val="23"/>
        </w:rPr>
        <w:t>, 2013 :</w:t>
      </w:r>
      <w:r>
        <w:rPr>
          <w:rFonts w:ascii="Garamond" w:hAnsi="Garamond"/>
          <w:szCs w:val="23"/>
        </w:rPr>
        <w:t xml:space="preserve"> </w:t>
      </w:r>
      <w:r w:rsidRPr="00C6378E">
        <w:rPr>
          <w:rFonts w:ascii="Garamond" w:hAnsi="Garamond"/>
          <w:szCs w:val="23"/>
        </w:rPr>
        <w:t>http://www.linglat.paris-sorbonne.fr/encyclopedie_linguistique:notions_linguistiques:syntaxe:derivation_illocutoire</w:t>
      </w:r>
    </w:p>
    <w:p w:rsidR="000C44F2" w:rsidRPr="00FA12D9" w:rsidRDefault="000C44F2" w:rsidP="001F4446">
      <w:pPr>
        <w:jc w:val="both"/>
        <w:rPr>
          <w:rFonts w:ascii="Garamond" w:hAnsi="Garamond"/>
          <w:szCs w:val="23"/>
        </w:rPr>
      </w:pPr>
      <w:r>
        <w:rPr>
          <w:rFonts w:ascii="Garamond" w:hAnsi="Garamond"/>
          <w:b/>
          <w:szCs w:val="23"/>
        </w:rPr>
        <w:t xml:space="preserve">- </w:t>
      </w:r>
      <w:r w:rsidRPr="00FA12D9">
        <w:rPr>
          <w:rFonts w:ascii="Garamond" w:hAnsi="Garamond"/>
          <w:szCs w:val="23"/>
        </w:rPr>
        <w:t>En collaboration avec Bernard Bortolussi, article</w:t>
      </w:r>
      <w:r>
        <w:rPr>
          <w:rFonts w:ascii="Garamond" w:hAnsi="Garamond"/>
          <w:szCs w:val="23"/>
        </w:rPr>
        <w:t xml:space="preserve"> </w:t>
      </w:r>
      <w:r w:rsidRPr="00FA12D9">
        <w:rPr>
          <w:rFonts w:ascii="Garamond" w:hAnsi="Garamond"/>
          <w:b/>
          <w:szCs w:val="23"/>
        </w:rPr>
        <w:t>« Cycle / Évolution cyclique »</w:t>
      </w:r>
      <w:r w:rsidRPr="00FA12D9">
        <w:rPr>
          <w:rFonts w:ascii="Garamond" w:hAnsi="Garamond"/>
          <w:szCs w:val="23"/>
        </w:rPr>
        <w:t xml:space="preserve"> du </w:t>
      </w:r>
      <w:r w:rsidRPr="00FA12D9">
        <w:rPr>
          <w:rFonts w:ascii="Garamond" w:hAnsi="Garamond"/>
          <w:b/>
          <w:i/>
          <w:szCs w:val="23"/>
        </w:rPr>
        <w:t>DHELL</w:t>
      </w:r>
      <w:r w:rsidRPr="00FA12D9">
        <w:rPr>
          <w:rFonts w:ascii="Garamond" w:hAnsi="Garamond"/>
          <w:szCs w:val="23"/>
        </w:rPr>
        <w:t xml:space="preserve"> (</w:t>
      </w:r>
      <w:r w:rsidRPr="00FA12D9">
        <w:rPr>
          <w:rFonts w:ascii="Garamond" w:hAnsi="Garamond"/>
          <w:i/>
          <w:szCs w:val="23"/>
        </w:rPr>
        <w:t>Dictionnaire historique et Encyclopédie linguistique du latin</w:t>
      </w:r>
      <w:r w:rsidRPr="00FA12D9">
        <w:rPr>
          <w:rFonts w:ascii="Garamond" w:hAnsi="Garamond"/>
          <w:szCs w:val="23"/>
        </w:rPr>
        <w:t xml:space="preserve">), </w:t>
      </w:r>
      <w:r>
        <w:rPr>
          <w:rFonts w:ascii="Garamond" w:hAnsi="Garamond"/>
          <w:szCs w:val="23"/>
        </w:rPr>
        <w:t>partie « Encyclopédie linguistique »</w:t>
      </w:r>
      <w:r w:rsidRPr="00FA12D9">
        <w:rPr>
          <w:rFonts w:ascii="Garamond" w:hAnsi="Garamond"/>
          <w:szCs w:val="23"/>
        </w:rPr>
        <w:t>, 2013 :</w:t>
      </w:r>
      <w:r>
        <w:rPr>
          <w:rFonts w:ascii="Garamond" w:hAnsi="Garamond"/>
          <w:szCs w:val="23"/>
        </w:rPr>
        <w:t xml:space="preserve"> </w:t>
      </w:r>
      <w:r w:rsidRPr="001F4446">
        <w:rPr>
          <w:rFonts w:ascii="Garamond" w:hAnsi="Garamond"/>
          <w:szCs w:val="23"/>
        </w:rPr>
        <w:t>http://www.linglat.paris-sorbonne.fr/encyclopedie_linguistique:notions_linguistiques:syntaxe:cycle</w:t>
      </w:r>
    </w:p>
    <w:p w:rsidR="000C44F2" w:rsidRPr="00C6378E" w:rsidRDefault="000C44F2" w:rsidP="00C6378E">
      <w:pPr>
        <w:jc w:val="both"/>
        <w:rPr>
          <w:rFonts w:ascii="Garamond" w:hAnsi="Garamond"/>
        </w:rPr>
      </w:pPr>
      <w:r>
        <w:rPr>
          <w:rFonts w:ascii="Garamond" w:hAnsi="Garamond"/>
          <w:b/>
          <w:szCs w:val="23"/>
        </w:rPr>
        <w:t>-</w:t>
      </w:r>
      <w:r>
        <w:rPr>
          <w:rFonts w:ascii="Garamond" w:hAnsi="Garamond"/>
        </w:rPr>
        <w:t xml:space="preserve"> </w:t>
      </w:r>
      <w:r w:rsidRPr="00FA12D9">
        <w:rPr>
          <w:rFonts w:ascii="Garamond" w:hAnsi="Garamond"/>
          <w:b/>
        </w:rPr>
        <w:t>« Les trois fautes de goût de Quintus Arrius (Catulle 84) »</w:t>
      </w:r>
      <w:r>
        <w:rPr>
          <w:rFonts w:ascii="Garamond" w:hAnsi="Garamond"/>
          <w:b/>
        </w:rPr>
        <w:t xml:space="preserve">, </w:t>
      </w:r>
      <w:r w:rsidRPr="00FA12D9">
        <w:rPr>
          <w:rFonts w:ascii="Garamond" w:hAnsi="Garamond"/>
          <w:b/>
          <w:i/>
          <w:szCs w:val="23"/>
        </w:rPr>
        <w:t>Revue de philologie</w:t>
      </w:r>
      <w:r w:rsidRPr="00FA12D9">
        <w:rPr>
          <w:rFonts w:ascii="Garamond" w:hAnsi="Garamond"/>
          <w:szCs w:val="23"/>
        </w:rPr>
        <w:t xml:space="preserve"> 85/1, 2011 </w:t>
      </w:r>
      <w:r w:rsidRPr="00FA12D9">
        <w:rPr>
          <w:rFonts w:ascii="Garamond" w:hAnsi="Garamond"/>
        </w:rPr>
        <w:t>[2013], p. 25-41</w:t>
      </w:r>
      <w:bookmarkStart w:id="0" w:name="_GoBack"/>
      <w:bookmarkEnd w:id="0"/>
    </w:p>
    <w:p w:rsidR="000C44F2" w:rsidRDefault="000C44F2"/>
    <w:sectPr w:rsidR="000C44F2" w:rsidSect="005A0F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446"/>
    <w:rsid w:val="000839C7"/>
    <w:rsid w:val="000C44F2"/>
    <w:rsid w:val="001763AB"/>
    <w:rsid w:val="001F4446"/>
    <w:rsid w:val="005A0FE9"/>
    <w:rsid w:val="008E2417"/>
    <w:rsid w:val="00905E06"/>
    <w:rsid w:val="00984DC3"/>
    <w:rsid w:val="00A66DAE"/>
    <w:rsid w:val="00C6378E"/>
    <w:rsid w:val="00C74A30"/>
    <w:rsid w:val="00E77394"/>
    <w:rsid w:val="00F620DE"/>
    <w:rsid w:val="00FA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44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F444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bula.org/atelier.php?Anachronisme_et_historiographie" TargetMode="External"/><Relationship Id="rId4" Type="http://schemas.openxmlformats.org/officeDocument/2006/relationships/hyperlink" Target="http://www.fabula.org/atelier.php?Anachronisme_et_anachro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579</Words>
  <Characters>3188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Bibliographie Frédérique Fleck</dc:title>
  <dc:subject/>
  <dc:creator>Frédérique Fleck</dc:creator>
  <cp:keywords/>
  <dc:description/>
  <cp:lastModifiedBy>vsalaun</cp:lastModifiedBy>
  <cp:revision>2</cp:revision>
  <dcterms:created xsi:type="dcterms:W3CDTF">2014-09-16T11:41:00Z</dcterms:created>
  <dcterms:modified xsi:type="dcterms:W3CDTF">2014-09-16T11:41:00Z</dcterms:modified>
</cp:coreProperties>
</file>