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CC" w:rsidRPr="0085196C" w:rsidRDefault="0085196C">
      <w:pPr>
        <w:rPr>
          <w:b/>
        </w:rPr>
      </w:pPr>
      <w:bookmarkStart w:id="0" w:name="_GoBack"/>
      <w:r w:rsidRPr="0085196C">
        <w:rPr>
          <w:b/>
        </w:rPr>
        <w:t>David-Artur Daix</w:t>
      </w:r>
    </w:p>
    <w:bookmarkEnd w:id="0"/>
    <w:p w:rsidR="0085196C" w:rsidRPr="0085196C" w:rsidRDefault="0085196C" w:rsidP="0085196C">
      <w:pPr>
        <w:rPr>
          <w:lang w:val="en-US"/>
        </w:rPr>
      </w:pPr>
      <w:r w:rsidRPr="0085196C">
        <w:rPr>
          <w:lang w:val="en-US"/>
        </w:rPr>
        <w:t>Centre d'Études Anciennes</w:t>
      </w:r>
    </w:p>
    <w:p w:rsidR="0085196C" w:rsidRPr="0085196C" w:rsidRDefault="0085196C" w:rsidP="0085196C">
      <w:pPr>
        <w:rPr>
          <w:lang w:val="en-US"/>
        </w:rPr>
      </w:pPr>
      <w:r w:rsidRPr="0085196C">
        <w:rPr>
          <w:lang w:val="en-US"/>
        </w:rPr>
        <w:t>Département des Sciences de l'Antiquité</w:t>
      </w:r>
    </w:p>
    <w:p w:rsidR="0085196C" w:rsidRPr="0085196C" w:rsidRDefault="0085196C" w:rsidP="0085196C">
      <w:pPr>
        <w:rPr>
          <w:lang w:val="en-US"/>
        </w:rPr>
      </w:pPr>
      <w:r w:rsidRPr="0085196C">
        <w:rPr>
          <w:lang w:val="en-US"/>
        </w:rPr>
        <w:t>École Normale Supérieure</w:t>
      </w:r>
    </w:p>
    <w:p w:rsidR="0085196C" w:rsidRPr="00EA3799" w:rsidRDefault="0085196C" w:rsidP="0085196C">
      <w:pPr>
        <w:keepNext/>
        <w:spacing w:before="120" w:after="120"/>
        <w:rPr>
          <w:b/>
          <w:smallCaps/>
        </w:rPr>
      </w:pPr>
      <w:bookmarkStart w:id="1" w:name="OLE_LINK52"/>
      <w:bookmarkStart w:id="2" w:name="OLE_LINK53"/>
      <w:bookmarkStart w:id="3" w:name="OLE_LINK54"/>
      <w:bookmarkStart w:id="4" w:name="OLE_LINK57"/>
      <w:bookmarkStart w:id="5" w:name="OLE_LINK58"/>
      <w:bookmarkStart w:id="6" w:name="OLE_LINK59"/>
      <w:r w:rsidRPr="00EA3799">
        <w:rPr>
          <w:b/>
          <w:smallCaps/>
        </w:rPr>
        <w:t>Articles, publications et communications :</w:t>
      </w:r>
    </w:p>
    <w:p w:rsidR="0085196C" w:rsidRDefault="0085196C" w:rsidP="0085196C">
      <w:pPr>
        <w:numPr>
          <w:ilvl w:val="0"/>
          <w:numId w:val="1"/>
        </w:numPr>
        <w:spacing w:after="60"/>
      </w:pPr>
      <w:bookmarkStart w:id="7" w:name="OLE_LINK43"/>
      <w:bookmarkStart w:id="8" w:name="OLE_LINK51"/>
      <w:bookmarkStart w:id="9" w:name="OLE_LINK12"/>
      <w:bookmarkStart w:id="10" w:name="OLE_LINK13"/>
      <w:bookmarkStart w:id="11" w:name="OLE_LINK143"/>
      <w:bookmarkStart w:id="12" w:name="OLE_LINK10"/>
      <w:r>
        <w:t>« Achille au Chant XXIV de l’</w:t>
      </w:r>
      <w:r>
        <w:rPr>
          <w:i/>
        </w:rPr>
        <w:t>Iliade </w:t>
      </w:r>
      <w:r>
        <w:t>: lion exécrable ou héros admirable ? »</w:t>
      </w:r>
      <w:r w:rsidRPr="00B52453">
        <w:t xml:space="preserve"> </w:t>
      </w:r>
      <w:r w:rsidRPr="00096DCB">
        <w:t xml:space="preserve">, </w:t>
      </w:r>
      <w:r w:rsidRPr="00096DCB">
        <w:rPr>
          <w:i/>
        </w:rPr>
        <w:t>Revue des Études Grecques</w:t>
      </w:r>
      <w:r w:rsidRPr="00096DCB">
        <w:t>,</w:t>
      </w:r>
      <w:r>
        <w:t xml:space="preserve"> tome 127, 2014, p. 1-27.</w:t>
      </w:r>
    </w:p>
    <w:p w:rsidR="0085196C" w:rsidRDefault="0085196C" w:rsidP="0085196C">
      <w:pPr>
        <w:numPr>
          <w:ilvl w:val="0"/>
          <w:numId w:val="1"/>
        </w:numPr>
        <w:spacing w:after="60"/>
      </w:pPr>
      <w:r>
        <w:t>« Les silences d’Homère »</w:t>
      </w:r>
      <w:r w:rsidRPr="00096DCB">
        <w:t xml:space="preserve">, </w:t>
      </w:r>
      <w:r w:rsidRPr="00096DCB">
        <w:rPr>
          <w:i/>
        </w:rPr>
        <w:t>Revue des Études Grecques</w:t>
      </w:r>
      <w:r w:rsidRPr="00096DCB">
        <w:t>,</w:t>
      </w:r>
      <w:r>
        <w:t xml:space="preserve"> tome 126, 2013, p. 289-344</w:t>
      </w:r>
      <w:bookmarkEnd w:id="7"/>
      <w:bookmarkEnd w:id="8"/>
      <w:r>
        <w:t>.</w:t>
      </w:r>
    </w:p>
    <w:p w:rsidR="0085196C" w:rsidRPr="0013675F" w:rsidRDefault="0085196C" w:rsidP="0085196C">
      <w:pPr>
        <w:numPr>
          <w:ilvl w:val="0"/>
          <w:numId w:val="1"/>
        </w:numPr>
        <w:spacing w:after="60"/>
      </w:pPr>
      <w:r w:rsidRPr="0013675F">
        <w:t>« </w:t>
      </w:r>
      <w:r w:rsidRPr="00F7479F">
        <w:t xml:space="preserve">Priam ou la force de l’âge », </w:t>
      </w:r>
      <w:r w:rsidRPr="007674D8">
        <w:rPr>
          <w:i/>
        </w:rPr>
        <w:t>Mètis</w:t>
      </w:r>
      <w:r w:rsidRPr="007674D8">
        <w:t>, N. S. 7, 2009, p. 137-170</w:t>
      </w:r>
      <w:r w:rsidRPr="00F7479F">
        <w:t>.</w:t>
      </w:r>
    </w:p>
    <w:p w:rsidR="0085196C" w:rsidRPr="0013675F" w:rsidRDefault="0085196C" w:rsidP="0085196C">
      <w:pPr>
        <w:numPr>
          <w:ilvl w:val="0"/>
          <w:numId w:val="1"/>
        </w:numPr>
        <w:spacing w:after="60"/>
      </w:pPr>
      <w:r w:rsidRPr="0013675F">
        <w:t xml:space="preserve">« Il(s) frappai(en)t à la ronde : </w:t>
      </w:r>
      <w:r w:rsidRPr="00096DCB">
        <w:t xml:space="preserve">Remarques sur la signification de l’adverbe ἐπιστροφάδην dans les épopées homériques », </w:t>
      </w:r>
      <w:r w:rsidRPr="00096DCB">
        <w:rPr>
          <w:i/>
        </w:rPr>
        <w:t>Revue des Études Grecques</w:t>
      </w:r>
      <w:r w:rsidRPr="00096DCB">
        <w:t>, tome 121, 200</w:t>
      </w:r>
      <w:r>
        <w:t>8</w:t>
      </w:r>
      <w:r w:rsidRPr="00096DCB">
        <w:t>, p. 421-442</w:t>
      </w:r>
      <w:r>
        <w:t>.</w:t>
      </w:r>
    </w:p>
    <w:p w:rsidR="0085196C" w:rsidRPr="0013675F" w:rsidRDefault="0085196C" w:rsidP="0085196C">
      <w:pPr>
        <w:numPr>
          <w:ilvl w:val="0"/>
          <w:numId w:val="1"/>
        </w:numPr>
        <w:spacing w:after="60"/>
      </w:pPr>
      <w:r w:rsidRPr="0013675F">
        <w:t xml:space="preserve">« Réalités et vérités dans la </w:t>
      </w:r>
      <w:r w:rsidRPr="0013675F">
        <w:rPr>
          <w:i/>
        </w:rPr>
        <w:t>Théogonie</w:t>
      </w:r>
      <w:r w:rsidRPr="0013675F">
        <w:t xml:space="preserve"> et les </w:t>
      </w:r>
      <w:r w:rsidRPr="0013675F">
        <w:rPr>
          <w:i/>
        </w:rPr>
        <w:t>Travaux et les Jours</w:t>
      </w:r>
      <w:r w:rsidRPr="0013675F">
        <w:t xml:space="preserve"> d’Hésiode. », </w:t>
      </w:r>
      <w:r w:rsidRPr="0013675F">
        <w:rPr>
          <w:i/>
        </w:rPr>
        <w:t>Mètis</w:t>
      </w:r>
      <w:r w:rsidRPr="0013675F">
        <w:t>, N. S. 4, 2006, p. 139-164</w:t>
      </w:r>
      <w:bookmarkEnd w:id="9"/>
      <w:bookmarkEnd w:id="10"/>
      <w:bookmarkEnd w:id="11"/>
      <w:r w:rsidRPr="0013675F">
        <w:t>.</w:t>
      </w:r>
    </w:p>
    <w:p w:rsidR="0085196C" w:rsidRPr="0013675F" w:rsidRDefault="0085196C" w:rsidP="0085196C">
      <w:pPr>
        <w:numPr>
          <w:ilvl w:val="0"/>
          <w:numId w:val="1"/>
        </w:numPr>
        <w:spacing w:after="60"/>
      </w:pPr>
      <w:bookmarkStart w:id="13" w:name="OLE_LINK14"/>
      <w:bookmarkStart w:id="14" w:name="OLE_LINK15"/>
      <w:bookmarkStart w:id="15" w:name="OLE_LINK11"/>
      <w:bookmarkStart w:id="16" w:name="OLE_LINK145"/>
      <w:r w:rsidRPr="0013675F">
        <w:t xml:space="preserve">« Hésiode: une poétique de la vérité ? », </w:t>
      </w:r>
      <w:r w:rsidRPr="00E23EBF">
        <w:rPr>
          <w:i/>
        </w:rPr>
        <w:t>Actes du XV</w:t>
      </w:r>
      <w:r w:rsidRPr="00E23EBF">
        <w:rPr>
          <w:i/>
          <w:vertAlign w:val="superscript"/>
        </w:rPr>
        <w:t>ème</w:t>
      </w:r>
      <w:r w:rsidRPr="00E23EBF">
        <w:rPr>
          <w:i/>
        </w:rPr>
        <w:t xml:space="preserve"> Congrès de l’association  Guillaume Budé (Orléans, août 2003)</w:t>
      </w:r>
      <w:r w:rsidRPr="0013675F">
        <w:t>, 2007</w:t>
      </w:r>
      <w:bookmarkEnd w:id="13"/>
      <w:bookmarkEnd w:id="14"/>
      <w:r w:rsidRPr="0013675F">
        <w:t>, p. 190-199</w:t>
      </w:r>
      <w:bookmarkEnd w:id="15"/>
      <w:r w:rsidRPr="0013675F">
        <w:t>.</w:t>
      </w:r>
      <w:bookmarkEnd w:id="16"/>
    </w:p>
    <w:bookmarkEnd w:id="12"/>
    <w:p w:rsidR="0085196C" w:rsidRPr="00EA3799" w:rsidRDefault="0085196C" w:rsidP="0085196C">
      <w:pPr>
        <w:keepNext/>
        <w:spacing w:before="120" w:after="120"/>
        <w:rPr>
          <w:b/>
          <w:smallCaps/>
        </w:rPr>
      </w:pPr>
      <w:r w:rsidRPr="00EA3799">
        <w:rPr>
          <w:b/>
          <w:smallCaps/>
        </w:rPr>
        <w:t>Travaux en cours :</w:t>
      </w:r>
    </w:p>
    <w:p w:rsidR="0085196C" w:rsidRPr="0013675F" w:rsidRDefault="0085196C" w:rsidP="0085196C">
      <w:pPr>
        <w:numPr>
          <w:ilvl w:val="0"/>
          <w:numId w:val="1"/>
        </w:numPr>
        <w:spacing w:after="60"/>
      </w:pPr>
      <w:r>
        <w:t xml:space="preserve">Démosthène, </w:t>
      </w:r>
      <w:r>
        <w:rPr>
          <w:i/>
        </w:rPr>
        <w:t xml:space="preserve">Contre Aphobos </w:t>
      </w:r>
      <w:r w:rsidRPr="005D0F98">
        <w:rPr>
          <w:i/>
          <w:smallCaps/>
        </w:rPr>
        <w:t>i</w:t>
      </w:r>
      <w:r>
        <w:rPr>
          <w:i/>
        </w:rPr>
        <w:t xml:space="preserve"> &amp; </w:t>
      </w:r>
      <w:r w:rsidRPr="005D0F98">
        <w:rPr>
          <w:i/>
          <w:smallCaps/>
        </w:rPr>
        <w:t>ii</w:t>
      </w:r>
      <w:r w:rsidRPr="005D0F98">
        <w:rPr>
          <w:i/>
        </w:rPr>
        <w:t>, Contre Midias</w:t>
      </w:r>
      <w:r w:rsidRPr="00F32816">
        <w:t>, édition, traduction et commentaire</w:t>
      </w:r>
      <w:r>
        <w:t xml:space="preserve"> en collaboration avec Matthieu Fernandez ; parution prévue en janvier 2016 aux Belles Lettres, collection « Commentario », avec le soutien du labex TransferS</w:t>
      </w:r>
      <w:r w:rsidRPr="00F32816">
        <w:t>.</w:t>
      </w:r>
    </w:p>
    <w:p w:rsidR="0085196C" w:rsidRPr="00EA3799" w:rsidRDefault="0085196C" w:rsidP="0085196C">
      <w:pPr>
        <w:keepNext/>
        <w:spacing w:before="120" w:after="120"/>
        <w:rPr>
          <w:b/>
          <w:smallCaps/>
        </w:rPr>
      </w:pPr>
      <w:r w:rsidRPr="00EA3799">
        <w:rPr>
          <w:b/>
          <w:smallCaps/>
        </w:rPr>
        <w:t>Publications électroniques :</w:t>
      </w:r>
    </w:p>
    <w:p w:rsidR="0085196C" w:rsidRDefault="0085196C" w:rsidP="0085196C">
      <w:pPr>
        <w:numPr>
          <w:ilvl w:val="0"/>
          <w:numId w:val="1"/>
        </w:numPr>
        <w:spacing w:after="60"/>
      </w:pPr>
      <w:bookmarkStart w:id="17" w:name="OLE_LINK16"/>
      <w:bookmarkStart w:id="18" w:name="OLE_LINK17"/>
      <w:r>
        <w:t>« À propos d’un récent recueil de thèmes grecs</w:t>
      </w:r>
      <w:r>
        <w:rPr>
          <w:rStyle w:val="FootnoteReference"/>
        </w:rPr>
        <w:footnoteReference w:id="1"/>
      </w:r>
      <w:r>
        <w:t> : Remarques sur les propositions relatives et le style indirect en grec ancien », septembre 2007</w:t>
      </w:r>
      <w:r w:rsidRPr="0013675F">
        <w:t> :</w:t>
      </w:r>
      <w:r w:rsidRPr="0013675F">
        <w:br/>
      </w:r>
      <w:bookmarkStart w:id="19" w:name="OLE_LINK49"/>
      <w:bookmarkStart w:id="20" w:name="OLE_LINK50"/>
      <w:r w:rsidRPr="0013675F">
        <w:rPr>
          <w:rFonts w:ascii="Courier" w:hAnsi="Courier"/>
          <w:color w:val="000000"/>
          <w:sz w:val="20"/>
        </w:rPr>
        <w:t>&lt;</w:t>
      </w:r>
      <w:r w:rsidRPr="003C3369">
        <w:rPr>
          <w:rFonts w:ascii="Courier" w:hAnsi="Courier"/>
          <w:color w:val="000000"/>
          <w:sz w:val="20"/>
        </w:rPr>
        <w:t>http://www.antiquite.ens.fr/ressources/fiches-pedagogiques/</w:t>
      </w:r>
      <w:r w:rsidRPr="0013675F">
        <w:rPr>
          <w:rFonts w:ascii="Courier" w:hAnsi="Courier"/>
          <w:color w:val="000000"/>
          <w:sz w:val="20"/>
        </w:rPr>
        <w:t>&gt;</w:t>
      </w:r>
      <w:bookmarkEnd w:id="19"/>
      <w:bookmarkEnd w:id="20"/>
      <w:r>
        <w:t>.</w:t>
      </w:r>
    </w:p>
    <w:p w:rsidR="0085196C" w:rsidRPr="0013675F" w:rsidRDefault="0085196C" w:rsidP="0085196C">
      <w:pPr>
        <w:numPr>
          <w:ilvl w:val="0"/>
          <w:numId w:val="1"/>
        </w:numPr>
        <w:spacing w:after="60"/>
      </w:pPr>
      <w:r w:rsidRPr="0013675F">
        <w:t>Notices grammaticales consacrées au style indirect</w:t>
      </w:r>
      <w:r>
        <w:t>, aux hypothèses</w:t>
      </w:r>
      <w:r w:rsidRPr="0013675F">
        <w:t xml:space="preserve"> et aux </w:t>
      </w:r>
      <w:r w:rsidRPr="00393048">
        <w:t>propositions</w:t>
      </w:r>
      <w:r>
        <w:t xml:space="preserve"> relatives </w:t>
      </w:r>
      <w:r w:rsidRPr="0013675F">
        <w:t xml:space="preserve">en grec </w:t>
      </w:r>
      <w:r>
        <w:t>ancien</w:t>
      </w:r>
      <w:r w:rsidRPr="0013675F">
        <w:t> :</w:t>
      </w:r>
      <w:bookmarkStart w:id="21" w:name="OLE_LINK42"/>
      <w:r w:rsidRPr="0013675F">
        <w:br/>
      </w:r>
      <w:bookmarkEnd w:id="17"/>
      <w:bookmarkEnd w:id="18"/>
      <w:bookmarkEnd w:id="21"/>
      <w:r w:rsidRPr="0013675F">
        <w:rPr>
          <w:rFonts w:ascii="Courier" w:hAnsi="Courier"/>
          <w:color w:val="000000"/>
          <w:sz w:val="20"/>
        </w:rPr>
        <w:t>&lt;</w:t>
      </w:r>
      <w:r w:rsidRPr="003C3369">
        <w:rPr>
          <w:rFonts w:ascii="Courier" w:hAnsi="Courier"/>
          <w:color w:val="000000"/>
          <w:sz w:val="20"/>
        </w:rPr>
        <w:t>http://www.antiquite.ens.fr/ressources/fiches-pedagogiques/</w:t>
      </w:r>
      <w:r w:rsidRPr="0013675F">
        <w:rPr>
          <w:rFonts w:ascii="Courier" w:hAnsi="Courier"/>
          <w:color w:val="000000"/>
          <w:sz w:val="20"/>
        </w:rPr>
        <w:t>&gt;</w:t>
      </w:r>
      <w:r w:rsidRPr="0013675F">
        <w:t>.</w:t>
      </w:r>
      <w:bookmarkEnd w:id="3"/>
      <w:bookmarkEnd w:id="4"/>
      <w:bookmarkEnd w:id="5"/>
    </w:p>
    <w:bookmarkEnd w:id="1"/>
    <w:bookmarkEnd w:id="2"/>
    <w:bookmarkEnd w:id="6"/>
    <w:p w:rsidR="0085196C" w:rsidRDefault="0085196C"/>
    <w:sectPr w:rsidR="0085196C" w:rsidSect="000A29CC">
      <w:pgSz w:w="11900" w:h="16840"/>
      <w:pgMar w:top="1418" w:right="1418" w:bottom="1418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96C" w:rsidRDefault="0085196C" w:rsidP="0085196C">
      <w:r>
        <w:separator/>
      </w:r>
    </w:p>
  </w:endnote>
  <w:endnote w:type="continuationSeparator" w:id="0">
    <w:p w:rsidR="0085196C" w:rsidRDefault="0085196C" w:rsidP="0085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usillus">
    <w:panose1 w:val="02030502060405010103"/>
    <w:charset w:val="00"/>
    <w:family w:val="auto"/>
    <w:pitch w:val="variable"/>
    <w:sig w:usb0="C00008EF" w:usb1="5000201B" w:usb2="00000000" w:usb3="00000000" w:csb0="000000BB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96C" w:rsidRDefault="0085196C" w:rsidP="0085196C">
      <w:r>
        <w:separator/>
      </w:r>
    </w:p>
  </w:footnote>
  <w:footnote w:type="continuationSeparator" w:id="0">
    <w:p w:rsidR="0085196C" w:rsidRDefault="0085196C" w:rsidP="0085196C">
      <w:r>
        <w:continuationSeparator/>
      </w:r>
    </w:p>
  </w:footnote>
  <w:footnote w:id="1">
    <w:p w:rsidR="0085196C" w:rsidRDefault="0085196C" w:rsidP="0085196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40318">
        <w:t xml:space="preserve">À propos de l’ouvrage </w:t>
      </w:r>
      <w:r w:rsidRPr="00140318">
        <w:rPr>
          <w:i/>
        </w:rPr>
        <w:t>Thèmes grecs</w:t>
      </w:r>
      <w:r w:rsidRPr="00140318">
        <w:t xml:space="preserve"> de Romain Garnier et Lucien Pernée, avec le concours de Jean-Victor Vernhes, Ophrys, Paris, 2004.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62A"/>
    <w:multiLevelType w:val="hybridMultilevel"/>
    <w:tmpl w:val="29B21472"/>
    <w:lvl w:ilvl="0" w:tplc="70FC3944">
      <w:numFmt w:val="bullet"/>
      <w:lvlText w:val="—"/>
      <w:lvlJc w:val="left"/>
      <w:pPr>
        <w:tabs>
          <w:tab w:val="num" w:pos="567"/>
        </w:tabs>
        <w:ind w:left="567" w:hanging="357"/>
      </w:pPr>
      <w:rPr>
        <w:rFonts w:ascii="Vusillus" w:eastAsia="Times New Roman" w:hAnsi="Vusillus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6C"/>
    <w:rsid w:val="000A29CC"/>
    <w:rsid w:val="002C5299"/>
    <w:rsid w:val="00470452"/>
    <w:rsid w:val="007025A7"/>
    <w:rsid w:val="0085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E66BB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E94"/>
    <w:pPr>
      <w:jc w:val="both"/>
    </w:pPr>
    <w:rPr>
      <w:rFonts w:ascii="Times" w:hAnsi="Times"/>
      <w:lang w:val="fr-FR" w:eastAsia="en-US"/>
    </w:rPr>
  </w:style>
  <w:style w:type="paragraph" w:styleId="Heading1">
    <w:name w:val="heading 1"/>
    <w:basedOn w:val="Normal"/>
    <w:qFormat/>
    <w:rsid w:val="00501D39"/>
    <w:pPr>
      <w:keepNext/>
      <w:spacing w:after="240"/>
      <w:jc w:val="center"/>
      <w:outlineLvl w:val="0"/>
    </w:pPr>
    <w:rPr>
      <w:b/>
      <w:smallCaps/>
      <w:kern w:val="18"/>
      <w:sz w:val="28"/>
    </w:rPr>
  </w:style>
  <w:style w:type="paragraph" w:styleId="Heading2">
    <w:name w:val="heading 2"/>
    <w:basedOn w:val="Normal"/>
    <w:next w:val="Normal"/>
    <w:qFormat/>
    <w:rsid w:val="007025A7"/>
    <w:pPr>
      <w:keepNext/>
      <w:spacing w:before="240" w:after="120"/>
      <w:jc w:val="left"/>
      <w:outlineLvl w:val="1"/>
    </w:pPr>
    <w:rPr>
      <w:b/>
      <w:i/>
      <w:smallCaps/>
      <w:szCs w:val="20"/>
    </w:rPr>
  </w:style>
  <w:style w:type="paragraph" w:styleId="Heading3">
    <w:name w:val="heading 3"/>
    <w:basedOn w:val="Normal"/>
    <w:next w:val="Normal"/>
    <w:qFormat/>
    <w:rsid w:val="00BB1F83"/>
    <w:pPr>
      <w:keepNext/>
      <w:spacing w:before="240" w:after="120"/>
      <w:jc w:val="left"/>
      <w:outlineLvl w:val="2"/>
    </w:pPr>
    <w:rPr>
      <w:i/>
      <w:smallCaps/>
    </w:rPr>
  </w:style>
  <w:style w:type="paragraph" w:styleId="Heading4">
    <w:name w:val="heading 4"/>
    <w:basedOn w:val="Normal"/>
    <w:next w:val="Normal"/>
    <w:qFormat/>
    <w:rsid w:val="00BB1F83"/>
    <w:pPr>
      <w:keepNext/>
      <w:spacing w:before="240" w:after="120"/>
      <w:outlineLvl w:val="3"/>
    </w:pPr>
    <w:rPr>
      <w:b/>
      <w:i/>
      <w:szCs w:val="28"/>
    </w:rPr>
  </w:style>
  <w:style w:type="paragraph" w:styleId="Heading5">
    <w:name w:val="heading 5"/>
    <w:basedOn w:val="Normal"/>
    <w:next w:val="Normal"/>
    <w:qFormat/>
    <w:rsid w:val="00BB1F83"/>
    <w:pPr>
      <w:spacing w:before="240" w:after="120"/>
      <w:outlineLvl w:val="4"/>
    </w:pPr>
    <w:rPr>
      <w:i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e">
    <w:name w:val="Normal Texte"/>
    <w:basedOn w:val="Normal"/>
    <w:rsid w:val="007025A7"/>
    <w:pPr>
      <w:spacing w:before="120" w:after="120"/>
    </w:pPr>
  </w:style>
  <w:style w:type="paragraph" w:customStyle="1" w:styleId="NormalCitation">
    <w:name w:val="Normal Citation"/>
    <w:basedOn w:val="Normal"/>
    <w:rsid w:val="00470452"/>
    <w:pPr>
      <w:tabs>
        <w:tab w:val="left" w:pos="2835"/>
      </w:tabs>
      <w:spacing w:before="60" w:after="60"/>
      <w:ind w:left="851"/>
      <w:jc w:val="left"/>
    </w:pPr>
    <w:rPr>
      <w:rFonts w:eastAsia="Times New Roman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rsid w:val="00C91E94"/>
    <w:rPr>
      <w:sz w:val="18"/>
    </w:rPr>
  </w:style>
  <w:style w:type="character" w:styleId="FootnoteReference">
    <w:name w:val="footnote reference"/>
    <w:basedOn w:val="DefaultParagraphFont"/>
    <w:semiHidden/>
    <w:rsid w:val="00C91E94"/>
    <w:rPr>
      <w:vertAlign w:val="superscript"/>
    </w:rPr>
  </w:style>
  <w:style w:type="paragraph" w:styleId="Footer">
    <w:name w:val="footer"/>
    <w:basedOn w:val="Normal"/>
    <w:semiHidden/>
    <w:rsid w:val="00BB1F83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BB1F8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semiHidden/>
    <w:unhideWhenUsed/>
    <w:rsid w:val="002C5299"/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85196C"/>
    <w:rPr>
      <w:rFonts w:ascii="Times" w:hAnsi="Times"/>
      <w:sz w:val="18"/>
      <w:lang w:val="fr-FR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E94"/>
    <w:pPr>
      <w:jc w:val="both"/>
    </w:pPr>
    <w:rPr>
      <w:rFonts w:ascii="Times" w:hAnsi="Times"/>
      <w:lang w:val="fr-FR" w:eastAsia="en-US"/>
    </w:rPr>
  </w:style>
  <w:style w:type="paragraph" w:styleId="Heading1">
    <w:name w:val="heading 1"/>
    <w:basedOn w:val="Normal"/>
    <w:qFormat/>
    <w:rsid w:val="00501D39"/>
    <w:pPr>
      <w:keepNext/>
      <w:spacing w:after="240"/>
      <w:jc w:val="center"/>
      <w:outlineLvl w:val="0"/>
    </w:pPr>
    <w:rPr>
      <w:b/>
      <w:smallCaps/>
      <w:kern w:val="18"/>
      <w:sz w:val="28"/>
    </w:rPr>
  </w:style>
  <w:style w:type="paragraph" w:styleId="Heading2">
    <w:name w:val="heading 2"/>
    <w:basedOn w:val="Normal"/>
    <w:next w:val="Normal"/>
    <w:qFormat/>
    <w:rsid w:val="007025A7"/>
    <w:pPr>
      <w:keepNext/>
      <w:spacing w:before="240" w:after="120"/>
      <w:jc w:val="left"/>
      <w:outlineLvl w:val="1"/>
    </w:pPr>
    <w:rPr>
      <w:b/>
      <w:i/>
      <w:smallCaps/>
      <w:szCs w:val="20"/>
    </w:rPr>
  </w:style>
  <w:style w:type="paragraph" w:styleId="Heading3">
    <w:name w:val="heading 3"/>
    <w:basedOn w:val="Normal"/>
    <w:next w:val="Normal"/>
    <w:qFormat/>
    <w:rsid w:val="00BB1F83"/>
    <w:pPr>
      <w:keepNext/>
      <w:spacing w:before="240" w:after="120"/>
      <w:jc w:val="left"/>
      <w:outlineLvl w:val="2"/>
    </w:pPr>
    <w:rPr>
      <w:i/>
      <w:smallCaps/>
    </w:rPr>
  </w:style>
  <w:style w:type="paragraph" w:styleId="Heading4">
    <w:name w:val="heading 4"/>
    <w:basedOn w:val="Normal"/>
    <w:next w:val="Normal"/>
    <w:qFormat/>
    <w:rsid w:val="00BB1F83"/>
    <w:pPr>
      <w:keepNext/>
      <w:spacing w:before="240" w:after="120"/>
      <w:outlineLvl w:val="3"/>
    </w:pPr>
    <w:rPr>
      <w:b/>
      <w:i/>
      <w:szCs w:val="28"/>
    </w:rPr>
  </w:style>
  <w:style w:type="paragraph" w:styleId="Heading5">
    <w:name w:val="heading 5"/>
    <w:basedOn w:val="Normal"/>
    <w:next w:val="Normal"/>
    <w:qFormat/>
    <w:rsid w:val="00BB1F83"/>
    <w:pPr>
      <w:spacing w:before="240" w:after="120"/>
      <w:outlineLvl w:val="4"/>
    </w:pPr>
    <w:rPr>
      <w:i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e">
    <w:name w:val="Normal Texte"/>
    <w:basedOn w:val="Normal"/>
    <w:rsid w:val="007025A7"/>
    <w:pPr>
      <w:spacing w:before="120" w:after="120"/>
    </w:pPr>
  </w:style>
  <w:style w:type="paragraph" w:customStyle="1" w:styleId="NormalCitation">
    <w:name w:val="Normal Citation"/>
    <w:basedOn w:val="Normal"/>
    <w:rsid w:val="00470452"/>
    <w:pPr>
      <w:tabs>
        <w:tab w:val="left" w:pos="2835"/>
      </w:tabs>
      <w:spacing w:before="60" w:after="60"/>
      <w:ind w:left="851"/>
      <w:jc w:val="left"/>
    </w:pPr>
    <w:rPr>
      <w:rFonts w:eastAsia="Times New Roman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rsid w:val="00C91E94"/>
    <w:rPr>
      <w:sz w:val="18"/>
    </w:rPr>
  </w:style>
  <w:style w:type="character" w:styleId="FootnoteReference">
    <w:name w:val="footnote reference"/>
    <w:basedOn w:val="DefaultParagraphFont"/>
    <w:semiHidden/>
    <w:rsid w:val="00C91E94"/>
    <w:rPr>
      <w:vertAlign w:val="superscript"/>
    </w:rPr>
  </w:style>
  <w:style w:type="paragraph" w:styleId="Footer">
    <w:name w:val="footer"/>
    <w:basedOn w:val="Normal"/>
    <w:semiHidden/>
    <w:rsid w:val="00BB1F83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BB1F8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semiHidden/>
    <w:unhideWhenUsed/>
    <w:rsid w:val="002C5299"/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85196C"/>
    <w:rPr>
      <w:rFonts w:ascii="Times" w:hAnsi="Times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Macintosh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David-Artur Daix</dc:creator>
  <cp:keywords/>
  <dc:description/>
  <cp:lastModifiedBy>David-Artur Daix</cp:lastModifiedBy>
  <cp:revision>1</cp:revision>
  <dcterms:created xsi:type="dcterms:W3CDTF">2014-09-11T13:52:00Z</dcterms:created>
  <dcterms:modified xsi:type="dcterms:W3CDTF">2014-09-11T13:53:00Z</dcterms:modified>
</cp:coreProperties>
</file>